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92F" w:rsidRPr="00827580" w:rsidRDefault="0089492F" w:rsidP="0089492F">
      <w:pPr>
        <w:spacing w:line="276" w:lineRule="auto"/>
        <w:ind w:right="101"/>
        <w:rPr>
          <w:rFonts w:eastAsia="Arial"/>
          <w:b/>
          <w:spacing w:val="-1"/>
        </w:rPr>
      </w:pPr>
      <w:bookmarkStart w:id="0" w:name="_GoBack"/>
      <w:bookmarkEnd w:id="0"/>
      <w:r w:rsidRPr="00827580">
        <w:rPr>
          <w:b/>
        </w:rPr>
        <w:t>Practicing the alternative</w:t>
      </w:r>
      <w:r>
        <w:rPr>
          <w:b/>
        </w:rPr>
        <w:t>.</w:t>
      </w:r>
      <w:r w:rsidRPr="00827580">
        <w:rPr>
          <w:rFonts w:eastAsia="Arial"/>
          <w:b/>
          <w:spacing w:val="-1"/>
        </w:rPr>
        <w:t xml:space="preserve"> </w:t>
      </w:r>
      <w:r>
        <w:rPr>
          <w:rFonts w:eastAsia="Arial"/>
          <w:b/>
          <w:spacing w:val="-1"/>
        </w:rPr>
        <w:t>How women cooperation compensate the</w:t>
      </w:r>
      <w:r w:rsidRPr="00827580">
        <w:rPr>
          <w:rFonts w:eastAsia="Arial"/>
          <w:b/>
          <w:spacing w:val="-1"/>
        </w:rPr>
        <w:t xml:space="preserve"> impact of the c</w:t>
      </w:r>
      <w:r>
        <w:rPr>
          <w:rFonts w:eastAsia="Arial"/>
          <w:b/>
          <w:spacing w:val="-1"/>
        </w:rPr>
        <w:t xml:space="preserve">risis in the “global south”. The case of some countries in Latin America </w:t>
      </w:r>
    </w:p>
    <w:p w:rsidR="0089492F" w:rsidRDefault="0089492F" w:rsidP="0089492F">
      <w:pPr>
        <w:spacing w:line="276" w:lineRule="auto"/>
        <w:rPr>
          <w:b/>
        </w:rPr>
      </w:pPr>
    </w:p>
    <w:p w:rsidR="0089492F" w:rsidRPr="0089492F" w:rsidRDefault="0089492F" w:rsidP="0089492F">
      <w:pPr>
        <w:spacing w:line="276" w:lineRule="auto"/>
      </w:pPr>
      <w:r w:rsidRPr="0089492F">
        <w:t>Lorenza Perini</w:t>
      </w:r>
    </w:p>
    <w:p w:rsidR="0089492F" w:rsidRDefault="0089492F" w:rsidP="0089492F">
      <w:pPr>
        <w:spacing w:line="276" w:lineRule="auto"/>
        <w:rPr>
          <w:b/>
        </w:rPr>
      </w:pPr>
    </w:p>
    <w:p w:rsidR="0089492F" w:rsidRPr="0089492F" w:rsidRDefault="0089492F" w:rsidP="0089492F">
      <w:pPr>
        <w:spacing w:line="276" w:lineRule="auto"/>
        <w:rPr>
          <w:b/>
        </w:rPr>
      </w:pPr>
      <w:r>
        <w:rPr>
          <w:b/>
        </w:rPr>
        <w:t>Abstract</w:t>
      </w:r>
    </w:p>
    <w:p w:rsidR="0089492F" w:rsidRDefault="0089492F" w:rsidP="0089492F">
      <w:pPr>
        <w:jc w:val="both"/>
      </w:pPr>
      <w:r w:rsidRPr="00D909AE">
        <w:t>T</w:t>
      </w:r>
      <w:r>
        <w:t xml:space="preserve">his </w:t>
      </w:r>
      <w:r w:rsidRPr="00D909AE">
        <w:t xml:space="preserve">paper intends to analyze the impacts of the 2008 </w:t>
      </w:r>
      <w:r>
        <w:t xml:space="preserve">global </w:t>
      </w:r>
      <w:r w:rsidRPr="00D909AE">
        <w:t>economic crisis with a gender perspective, especia</w:t>
      </w:r>
      <w:r>
        <w:t>lly focusing on Latin America, considered both as a region and through specific cases in the different</w:t>
      </w:r>
      <w:r w:rsidRPr="00D909AE">
        <w:t xml:space="preserve"> countries</w:t>
      </w:r>
      <w:r>
        <w:t>,</w:t>
      </w:r>
      <w:r w:rsidRPr="00D909AE">
        <w:t xml:space="preserve"> </w:t>
      </w:r>
      <w:r>
        <w:t>in order to highlight the local cooperative initiatives put into place by some groups of women in Guatemala, Bolivia and Honduras</w:t>
      </w:r>
      <w:r w:rsidRPr="00D909AE">
        <w:t>.</w:t>
      </w:r>
      <w:r w:rsidRPr="001F6201">
        <w:t xml:space="preserve"> </w:t>
      </w:r>
      <w:r w:rsidRPr="00D909AE">
        <w:t xml:space="preserve">The main target </w:t>
      </w:r>
      <w:r>
        <w:t xml:space="preserve">of the research </w:t>
      </w:r>
      <w:r w:rsidRPr="00D909AE">
        <w:t>is to evaluate how austerity perpetuates gender inequality in contexts like labor market and migration, and to advocate for sustained investment in gender equality.</w:t>
      </w:r>
      <w:r>
        <w:t xml:space="preserve"> The idea is</w:t>
      </w:r>
      <w:r w:rsidRPr="00D909AE">
        <w:t xml:space="preserve"> to demonstrate</w:t>
      </w:r>
      <w:r>
        <w:t xml:space="preserve">, through some practical examples, </w:t>
      </w:r>
      <w:r w:rsidRPr="00D909AE">
        <w:t>why there is a need to</w:t>
      </w:r>
      <w:r>
        <w:t xml:space="preserve"> give attention to women’s movements, invest on women and </w:t>
      </w:r>
      <w:proofErr w:type="gramStart"/>
      <w:r w:rsidRPr="00D909AE">
        <w:t>girls</w:t>
      </w:r>
      <w:proofErr w:type="gramEnd"/>
      <w:r w:rsidRPr="00D909AE">
        <w:t xml:space="preserve"> </w:t>
      </w:r>
      <w:r>
        <w:t>education, knowledge, culture capabilities, competences and skills, in any time but especially during</w:t>
      </w:r>
      <w:r w:rsidRPr="00D909AE">
        <w:t xml:space="preserve"> economic crisis, </w:t>
      </w:r>
      <w:r>
        <w:t>in order to transform the existing market and the existing models of production in society.</w:t>
      </w:r>
    </w:p>
    <w:p w:rsidR="0089492F" w:rsidRPr="00D9339C" w:rsidRDefault="0089492F" w:rsidP="0089492F">
      <w:pPr>
        <w:jc w:val="both"/>
      </w:pPr>
      <w:r>
        <w:t>Through the study case of Latin America, the paper wants to underline the</w:t>
      </w:r>
      <w:r w:rsidRPr="00B5164C">
        <w:t xml:space="preserve"> correlation between </w:t>
      </w:r>
      <w:r>
        <w:t xml:space="preserve">the general and classic </w:t>
      </w:r>
      <w:r w:rsidRPr="00B5164C">
        <w:t xml:space="preserve">indicators of the economic crisis (work / development / migration / welfare state) and </w:t>
      </w:r>
      <w:r>
        <w:t>some of the possible “</w:t>
      </w:r>
      <w:r w:rsidRPr="00B5164C">
        <w:t>gender variables</w:t>
      </w:r>
      <w:r>
        <w:t>”. T</w:t>
      </w:r>
      <w:r w:rsidRPr="00D9339C">
        <w:t>he analysis of this complex scenario</w:t>
      </w:r>
      <w:r>
        <w:t xml:space="preserve"> </w:t>
      </w:r>
      <w:proofErr w:type="gramStart"/>
      <w:r>
        <w:t>is made</w:t>
      </w:r>
      <w:proofErr w:type="gramEnd"/>
      <w:r>
        <w:t xml:space="preserve"> </w:t>
      </w:r>
      <w:r w:rsidRPr="00D9339C">
        <w:t>through</w:t>
      </w:r>
      <w:r>
        <w:t xml:space="preserve"> a </w:t>
      </w:r>
      <w:r w:rsidRPr="00D9339C">
        <w:rPr>
          <w:spacing w:val="-1"/>
        </w:rPr>
        <w:t>feminist</w:t>
      </w:r>
      <w:r w:rsidRPr="00D9339C">
        <w:rPr>
          <w:spacing w:val="4"/>
        </w:rPr>
        <w:t xml:space="preserve"> </w:t>
      </w:r>
      <w:r w:rsidRPr="00D9339C">
        <w:rPr>
          <w:spacing w:val="-1"/>
        </w:rPr>
        <w:t>economic</w:t>
      </w:r>
      <w:r w:rsidRPr="00D9339C">
        <w:rPr>
          <w:spacing w:val="2"/>
        </w:rPr>
        <w:t xml:space="preserve"> </w:t>
      </w:r>
      <w:r w:rsidRPr="00D9339C">
        <w:rPr>
          <w:spacing w:val="-1"/>
        </w:rPr>
        <w:t>approach</w:t>
      </w:r>
      <w:r>
        <w:rPr>
          <w:spacing w:val="10"/>
        </w:rPr>
        <w:t xml:space="preserve">, in order </w:t>
      </w:r>
      <w:r w:rsidRPr="00D9339C">
        <w:rPr>
          <w:spacing w:val="-1"/>
        </w:rPr>
        <w:t>to</w:t>
      </w:r>
      <w:r w:rsidRPr="00D9339C">
        <w:rPr>
          <w:spacing w:val="5"/>
        </w:rPr>
        <w:t xml:space="preserve"> </w:t>
      </w:r>
      <w:r w:rsidRPr="00D9339C">
        <w:rPr>
          <w:spacing w:val="-1"/>
        </w:rPr>
        <w:t>broaden</w:t>
      </w:r>
      <w:r w:rsidRPr="00D9339C">
        <w:rPr>
          <w:spacing w:val="7"/>
        </w:rPr>
        <w:t xml:space="preserve"> </w:t>
      </w:r>
      <w:r w:rsidRPr="00D9339C">
        <w:t>the</w:t>
      </w:r>
      <w:r w:rsidRPr="00D9339C">
        <w:rPr>
          <w:spacing w:val="5"/>
        </w:rPr>
        <w:t xml:space="preserve"> </w:t>
      </w:r>
      <w:r w:rsidRPr="00D9339C">
        <w:rPr>
          <w:spacing w:val="-1"/>
        </w:rPr>
        <w:t>idea</w:t>
      </w:r>
      <w:r w:rsidRPr="00D9339C">
        <w:rPr>
          <w:spacing w:val="5"/>
        </w:rPr>
        <w:t xml:space="preserve"> </w:t>
      </w:r>
      <w:r w:rsidRPr="00D9339C">
        <w:rPr>
          <w:spacing w:val="-1"/>
        </w:rPr>
        <w:t>of</w:t>
      </w:r>
      <w:r w:rsidRPr="00D9339C">
        <w:rPr>
          <w:spacing w:val="6"/>
        </w:rPr>
        <w:t xml:space="preserve"> </w:t>
      </w:r>
      <w:r w:rsidRPr="00D9339C">
        <w:rPr>
          <w:spacing w:val="-1"/>
        </w:rPr>
        <w:t>what</w:t>
      </w:r>
      <w:r w:rsidRPr="00D9339C">
        <w:rPr>
          <w:spacing w:val="4"/>
        </w:rPr>
        <w:t xml:space="preserve"> </w:t>
      </w:r>
      <w:r w:rsidRPr="00D9339C">
        <w:t>the</w:t>
      </w:r>
      <w:r w:rsidRPr="00D9339C">
        <w:rPr>
          <w:spacing w:val="5"/>
        </w:rPr>
        <w:t xml:space="preserve"> </w:t>
      </w:r>
      <w:r>
        <w:rPr>
          <w:spacing w:val="5"/>
        </w:rPr>
        <w:t xml:space="preserve">global </w:t>
      </w:r>
      <w:r w:rsidRPr="00D9339C">
        <w:rPr>
          <w:spacing w:val="-1"/>
        </w:rPr>
        <w:t>economy</w:t>
      </w:r>
      <w:r w:rsidRPr="00D9339C">
        <w:rPr>
          <w:spacing w:val="2"/>
        </w:rPr>
        <w:t xml:space="preserve"> </w:t>
      </w:r>
      <w:r w:rsidRPr="00D9339C">
        <w:rPr>
          <w:spacing w:val="-1"/>
        </w:rPr>
        <w:t>is</w:t>
      </w:r>
      <w:r>
        <w:rPr>
          <w:spacing w:val="-1"/>
        </w:rPr>
        <w:t>,</w:t>
      </w:r>
      <w:r w:rsidRPr="00D9339C">
        <w:rPr>
          <w:spacing w:val="49"/>
          <w:w w:val="99"/>
        </w:rPr>
        <w:t xml:space="preserve"> </w:t>
      </w:r>
      <w:r w:rsidRPr="00D9339C">
        <w:t>by</w:t>
      </w:r>
      <w:r w:rsidRPr="00D9339C">
        <w:rPr>
          <w:spacing w:val="23"/>
        </w:rPr>
        <w:t xml:space="preserve"> </w:t>
      </w:r>
      <w:r w:rsidRPr="00D9339C">
        <w:rPr>
          <w:spacing w:val="-1"/>
        </w:rPr>
        <w:t>looking</w:t>
      </w:r>
      <w:r w:rsidRPr="00D9339C">
        <w:rPr>
          <w:spacing w:val="26"/>
        </w:rPr>
        <w:t xml:space="preserve"> </w:t>
      </w:r>
      <w:r w:rsidRPr="00D9339C">
        <w:t>at</w:t>
      </w:r>
      <w:r w:rsidRPr="00D9339C">
        <w:rPr>
          <w:spacing w:val="24"/>
        </w:rPr>
        <w:t xml:space="preserve"> </w:t>
      </w:r>
      <w:r w:rsidRPr="00D9339C">
        <w:rPr>
          <w:spacing w:val="-1"/>
        </w:rPr>
        <w:t>the</w:t>
      </w:r>
      <w:r w:rsidRPr="00D9339C">
        <w:rPr>
          <w:spacing w:val="27"/>
        </w:rPr>
        <w:t xml:space="preserve"> </w:t>
      </w:r>
      <w:r w:rsidRPr="00D9339C">
        <w:rPr>
          <w:spacing w:val="-1"/>
        </w:rPr>
        <w:t>consequences</w:t>
      </w:r>
      <w:r w:rsidRPr="00D9339C">
        <w:rPr>
          <w:spacing w:val="23"/>
        </w:rPr>
        <w:t xml:space="preserve"> </w:t>
      </w:r>
      <w:r w:rsidRPr="00D9339C">
        <w:rPr>
          <w:spacing w:val="-1"/>
        </w:rPr>
        <w:t>of</w:t>
      </w:r>
      <w:r w:rsidRPr="00D9339C">
        <w:rPr>
          <w:spacing w:val="26"/>
        </w:rPr>
        <w:t xml:space="preserve"> </w:t>
      </w:r>
      <w:r w:rsidRPr="00D9339C">
        <w:rPr>
          <w:spacing w:val="-1"/>
        </w:rPr>
        <w:t>the</w:t>
      </w:r>
      <w:r w:rsidRPr="00D9339C">
        <w:rPr>
          <w:spacing w:val="25"/>
        </w:rPr>
        <w:t xml:space="preserve"> </w:t>
      </w:r>
      <w:r w:rsidRPr="00D9339C">
        <w:rPr>
          <w:spacing w:val="-1"/>
        </w:rPr>
        <w:t>economic</w:t>
      </w:r>
      <w:r w:rsidRPr="00D9339C">
        <w:rPr>
          <w:spacing w:val="23"/>
        </w:rPr>
        <w:t xml:space="preserve"> </w:t>
      </w:r>
      <w:r w:rsidRPr="00D9339C">
        <w:rPr>
          <w:spacing w:val="-1"/>
        </w:rPr>
        <w:t>model</w:t>
      </w:r>
      <w:r w:rsidRPr="00D9339C">
        <w:rPr>
          <w:spacing w:val="23"/>
        </w:rPr>
        <w:t xml:space="preserve"> </w:t>
      </w:r>
      <w:r w:rsidRPr="00D9339C">
        <w:rPr>
          <w:spacing w:val="-1"/>
        </w:rPr>
        <w:t>and</w:t>
      </w:r>
      <w:r w:rsidRPr="00D9339C">
        <w:rPr>
          <w:spacing w:val="26"/>
        </w:rPr>
        <w:t xml:space="preserve"> </w:t>
      </w:r>
      <w:r w:rsidRPr="00D9339C">
        <w:rPr>
          <w:spacing w:val="-1"/>
        </w:rPr>
        <w:t>its</w:t>
      </w:r>
      <w:r w:rsidRPr="00D9339C">
        <w:rPr>
          <w:spacing w:val="24"/>
        </w:rPr>
        <w:t xml:space="preserve"> </w:t>
      </w:r>
      <w:r w:rsidRPr="00D9339C">
        <w:rPr>
          <w:spacing w:val="-1"/>
        </w:rPr>
        <w:t>crisis</w:t>
      </w:r>
      <w:r w:rsidRPr="00D9339C">
        <w:rPr>
          <w:spacing w:val="26"/>
        </w:rPr>
        <w:t xml:space="preserve"> </w:t>
      </w:r>
      <w:r w:rsidRPr="00D9339C">
        <w:rPr>
          <w:spacing w:val="-1"/>
        </w:rPr>
        <w:t>in</w:t>
      </w:r>
      <w:r w:rsidRPr="00D9339C">
        <w:rPr>
          <w:spacing w:val="24"/>
        </w:rPr>
        <w:t xml:space="preserve"> </w:t>
      </w:r>
      <w:r w:rsidRPr="00D9339C">
        <w:rPr>
          <w:spacing w:val="-1"/>
        </w:rPr>
        <w:t>people’s</w:t>
      </w:r>
      <w:r w:rsidRPr="00D9339C">
        <w:rPr>
          <w:spacing w:val="59"/>
          <w:w w:val="99"/>
        </w:rPr>
        <w:t xml:space="preserve"> </w:t>
      </w:r>
      <w:r w:rsidRPr="00D9339C">
        <w:rPr>
          <w:spacing w:val="-1"/>
        </w:rPr>
        <w:t>lives,</w:t>
      </w:r>
      <w:r w:rsidRPr="00D9339C">
        <w:rPr>
          <w:spacing w:val="-13"/>
        </w:rPr>
        <w:t xml:space="preserve"> </w:t>
      </w:r>
      <w:r w:rsidRPr="00D9339C">
        <w:rPr>
          <w:spacing w:val="-1"/>
        </w:rPr>
        <w:t>bringing</w:t>
      </w:r>
      <w:r w:rsidRPr="00D9339C">
        <w:rPr>
          <w:spacing w:val="-15"/>
        </w:rPr>
        <w:t xml:space="preserve"> </w:t>
      </w:r>
      <w:r w:rsidRPr="00D9339C">
        <w:rPr>
          <w:spacing w:val="-1"/>
        </w:rPr>
        <w:t>into</w:t>
      </w:r>
      <w:r w:rsidRPr="00D9339C">
        <w:rPr>
          <w:spacing w:val="-12"/>
        </w:rPr>
        <w:t xml:space="preserve"> </w:t>
      </w:r>
      <w:r w:rsidRPr="00D9339C">
        <w:rPr>
          <w:spacing w:val="-1"/>
        </w:rPr>
        <w:t>light</w:t>
      </w:r>
      <w:r w:rsidRPr="00D9339C">
        <w:rPr>
          <w:spacing w:val="-13"/>
        </w:rPr>
        <w:t xml:space="preserve"> </w:t>
      </w:r>
      <w:r w:rsidRPr="00D9339C">
        <w:t>that</w:t>
      </w:r>
      <w:r w:rsidRPr="00D9339C">
        <w:rPr>
          <w:spacing w:val="-13"/>
        </w:rPr>
        <w:t xml:space="preserve"> </w:t>
      </w:r>
      <w:r w:rsidRPr="00D9339C">
        <w:rPr>
          <w:spacing w:val="-1"/>
        </w:rPr>
        <w:t>women’s</w:t>
      </w:r>
      <w:r w:rsidRPr="00D9339C">
        <w:rPr>
          <w:spacing w:val="-13"/>
        </w:rPr>
        <w:t xml:space="preserve"> </w:t>
      </w:r>
      <w:r w:rsidRPr="00D9339C">
        <w:rPr>
          <w:spacing w:val="-1"/>
        </w:rPr>
        <w:t>economic</w:t>
      </w:r>
      <w:r w:rsidRPr="00D9339C">
        <w:rPr>
          <w:spacing w:val="-13"/>
        </w:rPr>
        <w:t xml:space="preserve"> </w:t>
      </w:r>
      <w:r w:rsidRPr="00D9339C">
        <w:t>and</w:t>
      </w:r>
      <w:r w:rsidRPr="00D9339C">
        <w:rPr>
          <w:spacing w:val="-13"/>
        </w:rPr>
        <w:t xml:space="preserve"> </w:t>
      </w:r>
      <w:r w:rsidRPr="00D9339C">
        <w:rPr>
          <w:spacing w:val="-1"/>
        </w:rPr>
        <w:t>social</w:t>
      </w:r>
      <w:r w:rsidRPr="00D9339C">
        <w:rPr>
          <w:spacing w:val="-13"/>
        </w:rPr>
        <w:t xml:space="preserve"> </w:t>
      </w:r>
      <w:r w:rsidRPr="00D9339C">
        <w:rPr>
          <w:spacing w:val="-1"/>
        </w:rPr>
        <w:t>contributions</w:t>
      </w:r>
      <w:r w:rsidRPr="00D9339C">
        <w:rPr>
          <w:spacing w:val="-5"/>
        </w:rPr>
        <w:t xml:space="preserve"> </w:t>
      </w:r>
      <w:r w:rsidRPr="00D9339C">
        <w:rPr>
          <w:spacing w:val="-1"/>
        </w:rPr>
        <w:t>are</w:t>
      </w:r>
      <w:r w:rsidRPr="00D9339C">
        <w:rPr>
          <w:spacing w:val="-12"/>
        </w:rPr>
        <w:t xml:space="preserve"> </w:t>
      </w:r>
      <w:r w:rsidRPr="00D9339C">
        <w:rPr>
          <w:spacing w:val="-1"/>
        </w:rPr>
        <w:t>invisible</w:t>
      </w:r>
      <w:r w:rsidRPr="00D9339C">
        <w:rPr>
          <w:spacing w:val="57"/>
          <w:w w:val="99"/>
        </w:rPr>
        <w:t xml:space="preserve"> </w:t>
      </w:r>
      <w:r w:rsidRPr="00D9339C">
        <w:rPr>
          <w:spacing w:val="-1"/>
        </w:rPr>
        <w:t>under</w:t>
      </w:r>
      <w:r w:rsidRPr="00D9339C">
        <w:rPr>
          <w:spacing w:val="32"/>
        </w:rPr>
        <w:t xml:space="preserve"> </w:t>
      </w:r>
      <w:r w:rsidRPr="00D9339C">
        <w:t>the</w:t>
      </w:r>
      <w:r w:rsidRPr="00D9339C">
        <w:rPr>
          <w:spacing w:val="32"/>
        </w:rPr>
        <w:t xml:space="preserve"> </w:t>
      </w:r>
      <w:r w:rsidRPr="00D9339C">
        <w:rPr>
          <w:spacing w:val="-1"/>
        </w:rPr>
        <w:t>hegemonic</w:t>
      </w:r>
      <w:r w:rsidRPr="00D9339C">
        <w:rPr>
          <w:spacing w:val="30"/>
        </w:rPr>
        <w:t xml:space="preserve"> </w:t>
      </w:r>
      <w:r w:rsidRPr="00D9339C">
        <w:rPr>
          <w:spacing w:val="-1"/>
        </w:rPr>
        <w:t>patriarchal</w:t>
      </w:r>
      <w:r w:rsidRPr="00D9339C">
        <w:rPr>
          <w:spacing w:val="31"/>
        </w:rPr>
        <w:t xml:space="preserve"> </w:t>
      </w:r>
      <w:r w:rsidRPr="00D9339C">
        <w:rPr>
          <w:spacing w:val="-1"/>
        </w:rPr>
        <w:t>model</w:t>
      </w:r>
      <w:r w:rsidRPr="00D9339C">
        <w:rPr>
          <w:spacing w:val="33"/>
        </w:rPr>
        <w:t xml:space="preserve"> </w:t>
      </w:r>
      <w:r w:rsidRPr="00D9339C">
        <w:rPr>
          <w:spacing w:val="-2"/>
        </w:rPr>
        <w:t>we</w:t>
      </w:r>
      <w:r w:rsidRPr="00D9339C">
        <w:rPr>
          <w:spacing w:val="33"/>
        </w:rPr>
        <w:t xml:space="preserve"> </w:t>
      </w:r>
      <w:r w:rsidRPr="00D9339C">
        <w:rPr>
          <w:spacing w:val="-2"/>
        </w:rPr>
        <w:t>live</w:t>
      </w:r>
      <w:r w:rsidRPr="00D9339C">
        <w:rPr>
          <w:spacing w:val="34"/>
        </w:rPr>
        <w:t xml:space="preserve"> </w:t>
      </w:r>
      <w:r w:rsidRPr="00D9339C">
        <w:rPr>
          <w:spacing w:val="-1"/>
        </w:rPr>
        <w:t>in</w:t>
      </w:r>
      <w:r>
        <w:rPr>
          <w:spacing w:val="-1"/>
        </w:rPr>
        <w:t>.</w:t>
      </w:r>
    </w:p>
    <w:p w:rsidR="00745B3E" w:rsidRDefault="0063016D"/>
    <w:p w:rsidR="0089492F" w:rsidRDefault="0089492F"/>
    <w:p w:rsidR="0089492F" w:rsidRDefault="0089492F"/>
    <w:p w:rsidR="0089492F" w:rsidRDefault="0089492F" w:rsidP="0089492F">
      <w:pPr>
        <w:pStyle w:val="Titolo1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89492F" w:rsidRPr="0089492F" w:rsidRDefault="0089492F" w:rsidP="0089492F">
      <w:pPr>
        <w:pStyle w:val="Titolo1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r w:rsidRPr="0089492F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Lorenza Perini</w:t>
      </w:r>
    </w:p>
    <w:p w:rsidR="0089492F" w:rsidRDefault="0089492F" w:rsidP="0089492F">
      <w:pPr>
        <w:rPr>
          <w:rStyle w:val="Enfasicorsivo"/>
          <w:i w:val="0"/>
          <w:color w:val="333333"/>
          <w:sz w:val="20"/>
          <w:szCs w:val="20"/>
          <w:shd w:val="clear" w:color="auto" w:fill="FFFFFF"/>
        </w:rPr>
      </w:pPr>
      <w:r w:rsidRPr="0089492F">
        <w:rPr>
          <w:rStyle w:val="Enfasicorsivo"/>
          <w:i w:val="0"/>
          <w:color w:val="333333"/>
          <w:sz w:val="20"/>
          <w:szCs w:val="20"/>
          <w:shd w:val="clear" w:color="auto" w:fill="FFFFFF"/>
        </w:rPr>
        <w:t xml:space="preserve">Researcher at the Department </w:t>
      </w:r>
      <w:proofErr w:type="gramStart"/>
      <w:r w:rsidRPr="0089492F">
        <w:rPr>
          <w:rStyle w:val="Enfasicorsivo"/>
          <w:i w:val="0"/>
          <w:color w:val="333333"/>
          <w:sz w:val="20"/>
          <w:szCs w:val="20"/>
          <w:shd w:val="clear" w:color="auto" w:fill="FFFFFF"/>
        </w:rPr>
        <w:t>of  Political</w:t>
      </w:r>
      <w:proofErr w:type="gramEnd"/>
      <w:r w:rsidRPr="0089492F">
        <w:rPr>
          <w:rStyle w:val="Enfasicorsivo"/>
          <w:i w:val="0"/>
          <w:color w:val="333333"/>
          <w:sz w:val="20"/>
          <w:szCs w:val="20"/>
          <w:shd w:val="clear" w:color="auto" w:fill="FFFFFF"/>
        </w:rPr>
        <w:t xml:space="preserve"> Science, Law and International Studies (SPGI) of the University of Padua. Graduated in Modern History, she holds a PhD in Contemporary History (University of Bologna) and a PhD in Urban Planning and Public Policies (IUAV, Venice). Currently, she teaches Gender Politics and Welfare State in the European Union at the University of Padua</w:t>
      </w:r>
    </w:p>
    <w:p w:rsidR="0089492F" w:rsidRDefault="0089492F" w:rsidP="0089492F">
      <w:pPr>
        <w:rPr>
          <w:rStyle w:val="Enfasicorsivo"/>
          <w:i w:val="0"/>
          <w:color w:val="333333"/>
          <w:sz w:val="20"/>
          <w:szCs w:val="20"/>
          <w:shd w:val="clear" w:color="auto" w:fill="FFFFFF"/>
        </w:rPr>
      </w:pPr>
    </w:p>
    <w:p w:rsidR="0089492F" w:rsidRPr="0089492F" w:rsidRDefault="0089492F" w:rsidP="0089492F">
      <w:pPr>
        <w:rPr>
          <w:sz w:val="20"/>
          <w:szCs w:val="20"/>
          <w:lang w:val="it-IT"/>
        </w:rPr>
      </w:pPr>
      <w:r w:rsidRPr="0089492F">
        <w:rPr>
          <w:sz w:val="20"/>
          <w:szCs w:val="20"/>
          <w:lang w:val="it-IT"/>
        </w:rPr>
        <w:t>Via del Santo, 28</w:t>
      </w:r>
    </w:p>
    <w:p w:rsidR="0089492F" w:rsidRPr="0089492F" w:rsidRDefault="0089492F" w:rsidP="0089492F">
      <w:pPr>
        <w:rPr>
          <w:sz w:val="20"/>
          <w:szCs w:val="20"/>
          <w:lang w:val="it-IT"/>
        </w:rPr>
      </w:pPr>
      <w:r w:rsidRPr="0089492F">
        <w:rPr>
          <w:sz w:val="20"/>
          <w:szCs w:val="20"/>
          <w:lang w:val="it-IT"/>
        </w:rPr>
        <w:t>35123 Padova</w:t>
      </w:r>
    </w:p>
    <w:p w:rsidR="0089492F" w:rsidRPr="0089492F" w:rsidRDefault="0089492F" w:rsidP="0089492F">
      <w:pPr>
        <w:rPr>
          <w:sz w:val="20"/>
          <w:szCs w:val="20"/>
          <w:lang w:val="it-IT"/>
        </w:rPr>
      </w:pPr>
      <w:r w:rsidRPr="0089492F">
        <w:rPr>
          <w:sz w:val="20"/>
          <w:szCs w:val="20"/>
          <w:lang w:val="it-IT"/>
        </w:rPr>
        <w:t>049-827-4037</w:t>
      </w:r>
    </w:p>
    <w:p w:rsidR="0089492F" w:rsidRPr="0089492F" w:rsidRDefault="0089492F" w:rsidP="0089492F">
      <w:pPr>
        <w:rPr>
          <w:sz w:val="20"/>
          <w:szCs w:val="20"/>
          <w:lang w:val="it-IT"/>
        </w:rPr>
      </w:pPr>
      <w:r w:rsidRPr="0089492F">
        <w:rPr>
          <w:sz w:val="20"/>
          <w:szCs w:val="20"/>
          <w:lang w:val="it-IT"/>
        </w:rPr>
        <w:t>338-3893695</w:t>
      </w:r>
    </w:p>
    <w:p w:rsidR="0089492F" w:rsidRPr="0063016D" w:rsidRDefault="0063016D" w:rsidP="0089492F">
      <w:pPr>
        <w:rPr>
          <w:sz w:val="20"/>
          <w:szCs w:val="20"/>
          <w:lang w:val="it-IT"/>
        </w:rPr>
      </w:pPr>
      <w:hyperlink r:id="rId4" w:tgtFrame="_blank" w:history="1">
        <w:r w:rsidR="0089492F" w:rsidRPr="0089492F">
          <w:rPr>
            <w:rStyle w:val="Collegamentoipertestuale"/>
            <w:rFonts w:eastAsiaTheme="majorEastAsia"/>
            <w:color w:val="auto"/>
            <w:sz w:val="20"/>
            <w:szCs w:val="20"/>
            <w:shd w:val="clear" w:color="auto" w:fill="FFFFFF"/>
            <w:lang w:val="it-IT"/>
          </w:rPr>
          <w:t>http://cirsg.unipd.it/il-centro/lorenza-perini/</w:t>
        </w:r>
      </w:hyperlink>
    </w:p>
    <w:p w:rsidR="0089492F" w:rsidRPr="0089492F" w:rsidRDefault="0063016D" w:rsidP="0089492F">
      <w:pPr>
        <w:rPr>
          <w:sz w:val="20"/>
          <w:szCs w:val="20"/>
          <w:lang w:val="it-IT"/>
        </w:rPr>
      </w:pPr>
      <w:hyperlink r:id="rId5" w:history="1">
        <w:r w:rsidR="0089492F" w:rsidRPr="00A74989">
          <w:rPr>
            <w:rStyle w:val="Collegamentoipertestuale"/>
            <w:sz w:val="20"/>
            <w:szCs w:val="20"/>
          </w:rPr>
          <w:t>Lorenza.perini@unipd.it</w:t>
        </w:r>
      </w:hyperlink>
      <w:r w:rsidR="0089492F">
        <w:rPr>
          <w:sz w:val="20"/>
          <w:szCs w:val="20"/>
        </w:rPr>
        <w:t xml:space="preserve"> </w:t>
      </w:r>
    </w:p>
    <w:sectPr w:rsidR="0089492F" w:rsidRPr="008949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2F"/>
    <w:rsid w:val="00060B0D"/>
    <w:rsid w:val="00381C48"/>
    <w:rsid w:val="0063016D"/>
    <w:rsid w:val="0089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16C42-BBF7-4F24-B01B-FD2BD5AA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492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94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styleId="Enfasicorsivo">
    <w:name w:val="Emphasis"/>
    <w:basedOn w:val="Carpredefinitoparagrafo"/>
    <w:uiPriority w:val="20"/>
    <w:qFormat/>
    <w:rsid w:val="0089492F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894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orenza.perini@unipd.it" TargetMode="External"/><Relationship Id="rId4" Type="http://schemas.openxmlformats.org/officeDocument/2006/relationships/hyperlink" Target="http://www.google.com/url?q=http%3A%2F%2Fcirsg.unipd.it%2Fil-centro%2Florenza-perini%2F&amp;sa=D&amp;sntz=1&amp;usg=AFQjCNGXcY4uKFDhfi-IYIn5sNY1_swHt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REV1</cp:lastModifiedBy>
  <cp:revision>2</cp:revision>
  <dcterms:created xsi:type="dcterms:W3CDTF">2019-01-02T14:48:00Z</dcterms:created>
  <dcterms:modified xsi:type="dcterms:W3CDTF">2019-01-02T14:48:00Z</dcterms:modified>
</cp:coreProperties>
</file>