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95E8D" w14:textId="5CF8890F" w:rsidR="004D08AF" w:rsidRPr="003F1F4D" w:rsidRDefault="00DE7365" w:rsidP="00DE7365">
      <w:pPr>
        <w:ind w:right="-7"/>
        <w:jc w:val="both"/>
        <w:rPr>
          <w:b/>
          <w:color w:val="000000" w:themeColor="text1"/>
        </w:rPr>
      </w:pPr>
      <w:bookmarkStart w:id="0" w:name="_GoBack"/>
      <w:bookmarkEnd w:id="0"/>
      <w:r w:rsidRPr="003F1F4D">
        <w:rPr>
          <w:b/>
          <w:color w:val="000000" w:themeColor="text1"/>
        </w:rPr>
        <w:t>Letizia Bindi</w:t>
      </w:r>
      <w:r w:rsidR="002F1510" w:rsidRPr="003F1F4D">
        <w:rPr>
          <w:b/>
          <w:color w:val="000000" w:themeColor="text1"/>
        </w:rPr>
        <w:t>, Angelo Belliggiano</w:t>
      </w:r>
    </w:p>
    <w:p w14:paraId="530D270E" w14:textId="77777777" w:rsidR="00DE7365" w:rsidRDefault="00DE7365" w:rsidP="00DE7365">
      <w:pPr>
        <w:ind w:right="-7"/>
        <w:jc w:val="both"/>
      </w:pPr>
    </w:p>
    <w:p w14:paraId="3AA02A24" w14:textId="77777777" w:rsidR="00DE7365" w:rsidRPr="00447BB2" w:rsidRDefault="00DE7365" w:rsidP="00DE7365">
      <w:pPr>
        <w:ind w:right="-7"/>
        <w:jc w:val="both"/>
        <w:rPr>
          <w:i/>
        </w:rPr>
      </w:pPr>
      <w:r w:rsidRPr="00447BB2">
        <w:rPr>
          <w:i/>
        </w:rPr>
        <w:t>Il neo-</w:t>
      </w:r>
      <w:proofErr w:type="spellStart"/>
      <w:r w:rsidRPr="00447BB2">
        <w:rPr>
          <w:i/>
        </w:rPr>
        <w:t>ruralis</w:t>
      </w:r>
      <w:proofErr w:type="spellEnd"/>
      <w:r w:rsidRPr="00447BB2">
        <w:rPr>
          <w:i/>
        </w:rPr>
        <w:t>(si)</w:t>
      </w:r>
      <w:proofErr w:type="spellStart"/>
      <w:r w:rsidRPr="00447BB2">
        <w:rPr>
          <w:i/>
        </w:rPr>
        <w:t>mo</w:t>
      </w:r>
      <w:proofErr w:type="spellEnd"/>
    </w:p>
    <w:p w14:paraId="2D7D69B1" w14:textId="73DD6BEB" w:rsidR="00DE7365" w:rsidRPr="00447BB2" w:rsidRDefault="00DE7365" w:rsidP="00DE7365">
      <w:pPr>
        <w:ind w:right="-7"/>
        <w:jc w:val="both"/>
        <w:rPr>
          <w:i/>
        </w:rPr>
      </w:pPr>
      <w:r w:rsidRPr="00447BB2">
        <w:rPr>
          <w:i/>
        </w:rPr>
        <w:t>Retoriche della tradizione e della località, nuove agricolture e poetiche della ‘restanza’</w:t>
      </w:r>
    </w:p>
    <w:p w14:paraId="3F4C7122" w14:textId="77777777" w:rsidR="00DE7365" w:rsidRDefault="00DE7365" w:rsidP="00DE7365">
      <w:pPr>
        <w:ind w:right="-7"/>
        <w:jc w:val="both"/>
      </w:pPr>
    </w:p>
    <w:p w14:paraId="0DA03956" w14:textId="7EE0740C" w:rsidR="00DE7365" w:rsidRDefault="00DE7365" w:rsidP="002F1510">
      <w:pPr>
        <w:spacing w:after="120"/>
        <w:ind w:right="-6"/>
        <w:jc w:val="both"/>
      </w:pPr>
      <w:r>
        <w:t xml:space="preserve">Il presente contributo nasce da un dialogo interdisciplinare tra </w:t>
      </w:r>
      <w:r w:rsidR="002F1510" w:rsidRPr="003F1F4D">
        <w:rPr>
          <w:color w:val="000000" w:themeColor="text1"/>
        </w:rPr>
        <w:t>un’antropologa specializzata in processi di patrimonializzazione e</w:t>
      </w:r>
      <w:r w:rsidR="002F1510">
        <w:t xml:space="preserve"> </w:t>
      </w:r>
      <w:r>
        <w:t>u</w:t>
      </w:r>
      <w:r w:rsidR="003F1F4D">
        <w:t>no studioso di economia rurale</w:t>
      </w:r>
      <w:r>
        <w:t xml:space="preserve">. Lavorando insieme nelle diverse attività sviluppate da un Centro di ricerca interdipartimentale </w:t>
      </w:r>
      <w:r w:rsidR="00447BB2">
        <w:t>attento a</w:t>
      </w:r>
      <w:r>
        <w:t xml:space="preserve">i patrimoni </w:t>
      </w:r>
      <w:proofErr w:type="spellStart"/>
      <w:r>
        <w:t>bio</w:t>
      </w:r>
      <w:proofErr w:type="spellEnd"/>
      <w:r>
        <w:t xml:space="preserve">-culturali e </w:t>
      </w:r>
      <w:r w:rsidR="00447BB2">
        <w:t>al</w:t>
      </w:r>
      <w:r>
        <w:t>lo sviluppo locale (BIOCULT, Università degli Studi del Molise),</w:t>
      </w:r>
      <w:r w:rsidR="00447BB2">
        <w:t xml:space="preserve"> i due autori</w:t>
      </w:r>
      <w:r>
        <w:t xml:space="preserve"> hanno avuto l’opportunità di far dialogare tra loro modi e metodi delle rispettive discipline e temi afferenti ai diversi terreni di indagine incontrati nel tempo.</w:t>
      </w:r>
    </w:p>
    <w:p w14:paraId="56C44F50" w14:textId="16ED706E" w:rsidR="00F262A6" w:rsidRDefault="00F262A6" w:rsidP="00DE7365">
      <w:pPr>
        <w:ind w:right="-7"/>
        <w:jc w:val="both"/>
      </w:pPr>
      <w:r>
        <w:t>Da</w:t>
      </w:r>
      <w:r w:rsidR="002F1510">
        <w:t xml:space="preserve"> </w:t>
      </w:r>
      <w:r w:rsidR="002F1510" w:rsidRPr="003F1F4D">
        <w:rPr>
          <w:color w:val="000000" w:themeColor="text1"/>
        </w:rPr>
        <w:t>un lato</w:t>
      </w:r>
      <w:r w:rsidRPr="003F1F4D">
        <w:rPr>
          <w:color w:val="000000" w:themeColor="text1"/>
        </w:rPr>
        <w:t xml:space="preserve"> </w:t>
      </w:r>
      <w:r>
        <w:t xml:space="preserve">l’analisi etnografica </w:t>
      </w:r>
      <w:r w:rsidR="00447BB2">
        <w:t xml:space="preserve">ha </w:t>
      </w:r>
      <w:r>
        <w:t>rileva</w:t>
      </w:r>
      <w:r w:rsidR="00447BB2">
        <w:t>to</w:t>
      </w:r>
      <w:r>
        <w:t xml:space="preserve"> una tendenza sempre più marcata verso rappresentazioni neo-</w:t>
      </w:r>
      <w:proofErr w:type="spellStart"/>
      <w:r>
        <w:t>essenzialiste</w:t>
      </w:r>
      <w:proofErr w:type="spellEnd"/>
      <w:r>
        <w:t xml:space="preserve">, talora nostalgiche, suasive della ruralità come bene-rifugio, come ritorno alle origini, come riscoperta di genuinità e autenticità secondo precise linee retoriche che sembrano assimilarla – seppur tenendo conto della diversa congiuntura economica e politica – alla virata </w:t>
      </w:r>
      <w:proofErr w:type="spellStart"/>
      <w:r>
        <w:t>ruralista</w:t>
      </w:r>
      <w:proofErr w:type="spellEnd"/>
      <w:r>
        <w:t xml:space="preserve"> degli anni Trenta da parte del regime fascista quando le regioni “</w:t>
      </w:r>
      <w:proofErr w:type="spellStart"/>
      <w:r>
        <w:t>ruralissime</w:t>
      </w:r>
      <w:proofErr w:type="spellEnd"/>
      <w:r>
        <w:t>” – per l’appunto – diven</w:t>
      </w:r>
      <w:r w:rsidR="00447BB2">
        <w:t>nero,</w:t>
      </w:r>
      <w:r>
        <w:t xml:space="preserve"> nell’immaginario propagandistico</w:t>
      </w:r>
      <w:r w:rsidR="00447BB2">
        <w:t>,</w:t>
      </w:r>
      <w:r>
        <w:t xml:space="preserve"> il fulcro della svolta autarchica dell’Italia di allora.</w:t>
      </w:r>
    </w:p>
    <w:p w14:paraId="4B235C7B" w14:textId="0299D944" w:rsidR="002F1510" w:rsidRDefault="002F1510" w:rsidP="002F1510">
      <w:pPr>
        <w:spacing w:after="120"/>
        <w:ind w:right="-6"/>
        <w:jc w:val="both"/>
      </w:pPr>
      <w:r w:rsidRPr="003F1F4D">
        <w:rPr>
          <w:color w:val="000000" w:themeColor="text1"/>
        </w:rPr>
        <w:t>Dall’altro</w:t>
      </w:r>
      <w:r w:rsidRPr="003F1F4D">
        <w:t xml:space="preserve"> l'indagine economica ha mostrato un ritorno sempre meno</w:t>
      </w:r>
      <w:r w:rsidRPr="003F1F4D">
        <w:br/>
        <w:t>episodico all'agricoltura da parte dei più giovani, spesso altamente</w:t>
      </w:r>
      <w:r w:rsidRPr="003F1F4D">
        <w:br/>
        <w:t>specializzati e capaci di intercettare misure di finanziamento</w:t>
      </w:r>
      <w:r w:rsidRPr="003F1F4D">
        <w:br/>
        <w:t>nazionali e sovranazionali (ad esempio nuovi impianti, strategie di</w:t>
      </w:r>
      <w:r w:rsidRPr="003F1F4D">
        <w:br/>
        <w:t>incentivazione all’imprenditoria nel settore agro-alimentare a</w:t>
      </w:r>
      <w:r w:rsidRPr="003F1F4D">
        <w:br/>
        <w:t>conduzione femminile e under-40, ecc.).</w:t>
      </w:r>
    </w:p>
    <w:p w14:paraId="44239D4F" w14:textId="5024E330" w:rsidR="00F262A6" w:rsidRDefault="00F262A6" w:rsidP="00DE7365">
      <w:pPr>
        <w:ind w:right="-7"/>
        <w:jc w:val="both"/>
      </w:pPr>
      <w:r>
        <w:t xml:space="preserve">Dopo Expo 2015, in particolar modo, l’Italia </w:t>
      </w:r>
      <w:r w:rsidR="00447BB2">
        <w:t xml:space="preserve">ha </w:t>
      </w:r>
      <w:r>
        <w:t>mostra</w:t>
      </w:r>
      <w:r w:rsidR="00447BB2">
        <w:t>to</w:t>
      </w:r>
      <w:r>
        <w:t xml:space="preserve"> una attenzione sempre crescente verso i temi del</w:t>
      </w:r>
      <w:r w:rsidR="00C558C0">
        <w:t>la</w:t>
      </w:r>
      <w:r>
        <w:t xml:space="preserve"> cultura del cibo e del ritorno</w:t>
      </w:r>
      <w:r w:rsidR="00447BB2">
        <w:t xml:space="preserve"> alle campagne, rappresentandoli</w:t>
      </w:r>
      <w:r>
        <w:t xml:space="preserve"> come uno degli elementi chiave </w:t>
      </w:r>
      <w:r w:rsidR="00447BB2">
        <w:t xml:space="preserve">del cosiddetto </w:t>
      </w:r>
      <w:r w:rsidR="00447BB2" w:rsidRPr="00447BB2">
        <w:rPr>
          <w:i/>
        </w:rPr>
        <w:t>brand Italia</w:t>
      </w:r>
      <w:r w:rsidR="00447BB2">
        <w:t xml:space="preserve"> e </w:t>
      </w:r>
      <w:r>
        <w:t xml:space="preserve">della rinascita economica di aree a lungo considerate in ritardo secondo le logiche </w:t>
      </w:r>
      <w:proofErr w:type="spellStart"/>
      <w:r>
        <w:t>sviluppiste</w:t>
      </w:r>
      <w:proofErr w:type="spellEnd"/>
      <w:r>
        <w:t xml:space="preserve"> e neo-liberiste dominanti a partire</w:t>
      </w:r>
      <w:r w:rsidR="00447BB2">
        <w:t>,</w:t>
      </w:r>
      <w:r>
        <w:t xml:space="preserve"> </w:t>
      </w:r>
      <w:r w:rsidR="00447BB2">
        <w:t xml:space="preserve">in particolar modo, </w:t>
      </w:r>
      <w:r>
        <w:t>dalla fine degli anni Novanta.</w:t>
      </w:r>
      <w:r w:rsidR="00447BB2" w:rsidRPr="00447BB2">
        <w:t xml:space="preserve"> </w:t>
      </w:r>
    </w:p>
    <w:p w14:paraId="2556B319" w14:textId="4B17B2C8" w:rsidR="00F262A6" w:rsidRDefault="00F262A6" w:rsidP="00DE7365">
      <w:pPr>
        <w:ind w:right="-7"/>
        <w:jc w:val="both"/>
      </w:pPr>
      <w:r>
        <w:t xml:space="preserve">In altri contesti nazionali, nel frattempo, una importante riflessione si è avviata sulle aree rurali e periferiche caratterizzate da crescente spopolamento, da degrado e abbandono di porzioni sempre più consistenti di territorio </w:t>
      </w:r>
      <w:r w:rsidR="00212A0C">
        <w:t>che sembrano mostrare una sempre maggiore insofferenza rispetto alle politiche nazionali e alle imposizioni del mercato globale che le hanno progressivam</w:t>
      </w:r>
      <w:r w:rsidR="00476F6B">
        <w:t>ente escluse e marginalizzate. I</w:t>
      </w:r>
      <w:r w:rsidR="00212A0C">
        <w:t>n queste letture, per lo più provenienti dalla riflessione nord-americana (</w:t>
      </w:r>
      <w:proofErr w:type="spellStart"/>
      <w:r w:rsidR="00212A0C">
        <w:t>Wuthnow</w:t>
      </w:r>
      <w:proofErr w:type="spellEnd"/>
      <w:r w:rsidR="00212A0C">
        <w:t xml:space="preserve"> 2018; </w:t>
      </w:r>
      <w:proofErr w:type="spellStart"/>
      <w:r w:rsidR="00212A0C">
        <w:t>Fallows</w:t>
      </w:r>
      <w:proofErr w:type="spellEnd"/>
      <w:r w:rsidR="00212A0C">
        <w:t xml:space="preserve"> &amp; </w:t>
      </w:r>
      <w:proofErr w:type="spellStart"/>
      <w:r w:rsidR="00212A0C">
        <w:t>Fallows</w:t>
      </w:r>
      <w:proofErr w:type="spellEnd"/>
      <w:r w:rsidR="00212A0C">
        <w:t xml:space="preserve"> 2018</w:t>
      </w:r>
      <w:r w:rsidR="004C0E47">
        <w:t>; Ulrich-</w:t>
      </w:r>
      <w:proofErr w:type="spellStart"/>
      <w:r w:rsidR="004C0E47">
        <w:t>Schad</w:t>
      </w:r>
      <w:proofErr w:type="spellEnd"/>
      <w:r w:rsidR="004C0E47">
        <w:t>-Duncan 2018</w:t>
      </w:r>
      <w:r w:rsidR="00212A0C">
        <w:t>),</w:t>
      </w:r>
      <w:r w:rsidR="00476F6B">
        <w:t xml:space="preserve"> emerge un distacco crescente delle piccole e medie comunità rurali dell’America profonda dal modello di sviluppo neo-liberista, un senso di mancata rappresentanza, un intreccio di rabbia e resilienza che le infiamma e al tempo stesso le ha rese facili prede de</w:t>
      </w:r>
      <w:r w:rsidR="0002156D">
        <w:t xml:space="preserve">lla retorica neo-autarchica dell’era Trump </w:t>
      </w:r>
      <w:r w:rsidR="00476F6B">
        <w:t>e del ritorno a un conservatorismo chiuso a ogni inclusione.</w:t>
      </w:r>
    </w:p>
    <w:p w14:paraId="0A217FEE" w14:textId="2392B6FA" w:rsidR="00476F6B" w:rsidRDefault="00476F6B" w:rsidP="002F1510">
      <w:pPr>
        <w:spacing w:after="120"/>
        <w:ind w:right="-6"/>
        <w:jc w:val="both"/>
      </w:pPr>
      <w:r>
        <w:t xml:space="preserve">Si può riscontrare un fenomeno analogo nelle nostre comunità rurali e nelle aree fragili e periferiche europee e italiane esposte </w:t>
      </w:r>
      <w:r w:rsidR="00137D5D">
        <w:t>al</w:t>
      </w:r>
      <w:r>
        <w:t xml:space="preserve"> rischio di marginalizzazione </w:t>
      </w:r>
      <w:r>
        <w:lastRenderedPageBreak/>
        <w:t>progressiva dai processi virtuosi dell’economia di mercato? In che modo queste comunità vengono rappresentate, immaginate dall’esterno, dai decisori politici, da chi detta le grandi linee dell’economia e del mercato contemporanei e in che modo, invece, esse si rappresentano a s</w:t>
      </w:r>
      <w:r w:rsidR="00D43035">
        <w:t>é</w:t>
      </w:r>
      <w:r>
        <w:t xml:space="preserve"> stesse e tendono a rappresentarsi nella sfera pubblica e mediatica?</w:t>
      </w:r>
    </w:p>
    <w:p w14:paraId="4E826392" w14:textId="21522AC1" w:rsidR="00AA6E38" w:rsidRPr="00AA6E38" w:rsidRDefault="00AA6E38" w:rsidP="00DE7365">
      <w:pPr>
        <w:ind w:right="-7"/>
        <w:jc w:val="both"/>
        <w:rPr>
          <w:color w:val="FF0000"/>
        </w:rPr>
      </w:pPr>
      <w:r w:rsidRPr="003F1F4D">
        <w:rPr>
          <w:color w:val="000000" w:themeColor="text1"/>
        </w:rPr>
        <w:t xml:space="preserve">La continua tensione al decentramento amministrativo, che ha portato al progressivo indebolimento delle istituzioni intermedie, impedendo alle province </w:t>
      </w:r>
      <w:r w:rsidR="00A94FFA" w:rsidRPr="003F1F4D">
        <w:rPr>
          <w:color w:val="000000" w:themeColor="text1"/>
        </w:rPr>
        <w:t xml:space="preserve">italiane </w:t>
      </w:r>
      <w:r w:rsidRPr="003F1F4D">
        <w:rPr>
          <w:color w:val="000000" w:themeColor="text1"/>
        </w:rPr>
        <w:t xml:space="preserve">di continuare a svolgere </w:t>
      </w:r>
      <w:r w:rsidR="00E22181" w:rsidRPr="003F1F4D">
        <w:rPr>
          <w:color w:val="000000" w:themeColor="text1"/>
        </w:rPr>
        <w:t>quel</w:t>
      </w:r>
      <w:r w:rsidR="006047B7" w:rsidRPr="003F1F4D">
        <w:rPr>
          <w:color w:val="000000" w:themeColor="text1"/>
        </w:rPr>
        <w:t xml:space="preserve"> </w:t>
      </w:r>
      <w:r w:rsidR="002F1510" w:rsidRPr="003F1F4D">
        <w:rPr>
          <w:color w:val="000000" w:themeColor="text1"/>
        </w:rPr>
        <w:t xml:space="preserve">ruolo </w:t>
      </w:r>
      <w:r w:rsidR="006047B7" w:rsidRPr="003F1F4D">
        <w:rPr>
          <w:color w:val="000000" w:themeColor="text1"/>
        </w:rPr>
        <w:t>storico</w:t>
      </w:r>
      <w:r w:rsidRPr="003F1F4D">
        <w:rPr>
          <w:color w:val="000000" w:themeColor="text1"/>
        </w:rPr>
        <w:t xml:space="preserve"> di mediazione territoriale</w:t>
      </w:r>
      <w:r w:rsidR="00E22181" w:rsidRPr="003F1F4D">
        <w:rPr>
          <w:color w:val="000000" w:themeColor="text1"/>
        </w:rPr>
        <w:t xml:space="preserve"> connaturato alla loro stessa struttura</w:t>
      </w:r>
      <w:r w:rsidRPr="003F1F4D">
        <w:rPr>
          <w:color w:val="000000" w:themeColor="text1"/>
        </w:rPr>
        <w:t xml:space="preserve"> </w:t>
      </w:r>
      <w:r w:rsidR="00E22181" w:rsidRPr="003F1F4D">
        <w:rPr>
          <w:color w:val="000000" w:themeColor="text1"/>
        </w:rPr>
        <w:t>(</w:t>
      </w:r>
      <w:r w:rsidR="00CC5D6F" w:rsidRPr="003F1F4D">
        <w:rPr>
          <w:color w:val="000000" w:themeColor="text1"/>
        </w:rPr>
        <w:t>che ha tenuto insieme</w:t>
      </w:r>
      <w:r w:rsidR="002F1510" w:rsidRPr="003F1F4D">
        <w:rPr>
          <w:color w:val="000000" w:themeColor="text1"/>
        </w:rPr>
        <w:t xml:space="preserve"> </w:t>
      </w:r>
      <w:r w:rsidR="00837141" w:rsidRPr="003F1F4D">
        <w:rPr>
          <w:color w:val="000000" w:themeColor="text1"/>
        </w:rPr>
        <w:t>città e campagn</w:t>
      </w:r>
      <w:r w:rsidR="002F1510" w:rsidRPr="003F1F4D">
        <w:rPr>
          <w:color w:val="000000" w:themeColor="text1"/>
        </w:rPr>
        <w:t>a</w:t>
      </w:r>
      <w:r w:rsidR="00E22181" w:rsidRPr="003F1F4D">
        <w:rPr>
          <w:color w:val="000000" w:themeColor="text1"/>
        </w:rPr>
        <w:t xml:space="preserve">, </w:t>
      </w:r>
      <w:r w:rsidR="00074A3C" w:rsidRPr="003F1F4D">
        <w:rPr>
          <w:color w:val="000000" w:themeColor="text1"/>
        </w:rPr>
        <w:t>così come pianura e montagna)</w:t>
      </w:r>
      <w:r w:rsidR="00837141" w:rsidRPr="003F1F4D">
        <w:rPr>
          <w:color w:val="000000" w:themeColor="text1"/>
        </w:rPr>
        <w:t xml:space="preserve">, </w:t>
      </w:r>
      <w:r w:rsidR="00C20A47" w:rsidRPr="003F1F4D">
        <w:rPr>
          <w:color w:val="000000" w:themeColor="text1"/>
        </w:rPr>
        <w:t xml:space="preserve">ha </w:t>
      </w:r>
      <w:r w:rsidR="00CA616B" w:rsidRPr="003F1F4D">
        <w:rPr>
          <w:color w:val="000000" w:themeColor="text1"/>
        </w:rPr>
        <w:t>suggerito</w:t>
      </w:r>
      <w:r w:rsidR="00C20A47" w:rsidRPr="003F1F4D">
        <w:rPr>
          <w:color w:val="000000" w:themeColor="text1"/>
        </w:rPr>
        <w:t xml:space="preserve"> </w:t>
      </w:r>
      <w:r w:rsidR="00CA616B" w:rsidRPr="003F1F4D">
        <w:rPr>
          <w:color w:val="000000" w:themeColor="text1"/>
        </w:rPr>
        <w:t>di considerare i</w:t>
      </w:r>
      <w:r w:rsidR="00C20A47" w:rsidRPr="003F1F4D">
        <w:rPr>
          <w:color w:val="000000" w:themeColor="text1"/>
        </w:rPr>
        <w:t xml:space="preserve"> GAL come </w:t>
      </w:r>
      <w:r w:rsidR="00074A3C" w:rsidRPr="003F1F4D">
        <w:rPr>
          <w:color w:val="000000" w:themeColor="text1"/>
        </w:rPr>
        <w:t xml:space="preserve">nuovi </w:t>
      </w:r>
      <w:r w:rsidR="00CA616B" w:rsidRPr="003F1F4D">
        <w:rPr>
          <w:color w:val="000000" w:themeColor="text1"/>
        </w:rPr>
        <w:t xml:space="preserve">possibili sostituti </w:t>
      </w:r>
      <w:r w:rsidR="00074A3C" w:rsidRPr="003F1F4D">
        <w:rPr>
          <w:color w:val="000000" w:themeColor="text1"/>
        </w:rPr>
        <w:t xml:space="preserve">delle stesse </w:t>
      </w:r>
      <w:r w:rsidR="00CA616B" w:rsidRPr="003F1F4D">
        <w:rPr>
          <w:color w:val="000000" w:themeColor="text1"/>
        </w:rPr>
        <w:t xml:space="preserve">(D’Amico e De </w:t>
      </w:r>
      <w:proofErr w:type="spellStart"/>
      <w:r w:rsidR="00CA616B" w:rsidRPr="003F1F4D">
        <w:rPr>
          <w:color w:val="000000" w:themeColor="text1"/>
        </w:rPr>
        <w:t>Rubertis</w:t>
      </w:r>
      <w:proofErr w:type="spellEnd"/>
      <w:r w:rsidR="00CA616B" w:rsidRPr="003F1F4D">
        <w:rPr>
          <w:color w:val="000000" w:themeColor="text1"/>
        </w:rPr>
        <w:t xml:space="preserve">, 2014). Tuttavia, alcuni approfondimenti </w:t>
      </w:r>
      <w:r w:rsidR="00FD5997" w:rsidRPr="003F1F4D">
        <w:rPr>
          <w:color w:val="000000" w:themeColor="text1"/>
        </w:rPr>
        <w:t>sia</w:t>
      </w:r>
      <w:r w:rsidR="00CA616B" w:rsidRPr="003F1F4D">
        <w:rPr>
          <w:color w:val="000000" w:themeColor="text1"/>
        </w:rPr>
        <w:t xml:space="preserve"> di natura teorica, </w:t>
      </w:r>
      <w:r w:rsidR="00FD5997" w:rsidRPr="003F1F4D">
        <w:rPr>
          <w:color w:val="000000" w:themeColor="text1"/>
        </w:rPr>
        <w:t>che</w:t>
      </w:r>
      <w:r w:rsidR="00E22181" w:rsidRPr="003F1F4D">
        <w:rPr>
          <w:color w:val="000000" w:themeColor="text1"/>
        </w:rPr>
        <w:t xml:space="preserve"> </w:t>
      </w:r>
      <w:r w:rsidR="00CA616B" w:rsidRPr="003F1F4D">
        <w:rPr>
          <w:color w:val="000000" w:themeColor="text1"/>
        </w:rPr>
        <w:t>empirica, hanno indotto a non sottovalutare i rischi dei possibili</w:t>
      </w:r>
      <w:r w:rsidR="00FD5997" w:rsidRPr="003F1F4D">
        <w:rPr>
          <w:color w:val="000000" w:themeColor="text1"/>
        </w:rPr>
        <w:t xml:space="preserve"> “fallimenti” delle reti sottese</w:t>
      </w:r>
      <w:r w:rsidR="00074A3C" w:rsidRPr="003F1F4D">
        <w:rPr>
          <w:color w:val="000000" w:themeColor="text1"/>
        </w:rPr>
        <w:t xml:space="preserve"> agli stessi (Belliggiano e Salento, 2017), riconducibili </w:t>
      </w:r>
      <w:r w:rsidR="00A94FFA" w:rsidRPr="003F1F4D">
        <w:rPr>
          <w:color w:val="000000" w:themeColor="text1"/>
        </w:rPr>
        <w:t xml:space="preserve">alle (spesso consapevoli) ambiguità attribuite </w:t>
      </w:r>
      <w:r w:rsidR="00E22181" w:rsidRPr="003F1F4D">
        <w:rPr>
          <w:color w:val="000000" w:themeColor="text1"/>
        </w:rPr>
        <w:t xml:space="preserve">alle declinazioni </w:t>
      </w:r>
      <w:r w:rsidR="00F1045C" w:rsidRPr="003F1F4D">
        <w:rPr>
          <w:color w:val="000000" w:themeColor="text1"/>
        </w:rPr>
        <w:t>di</w:t>
      </w:r>
      <w:r w:rsidR="00A94FFA" w:rsidRPr="003F1F4D">
        <w:rPr>
          <w:color w:val="000000" w:themeColor="text1"/>
        </w:rPr>
        <w:t xml:space="preserve"> ruralità nei programmi di </w:t>
      </w:r>
      <w:r w:rsidR="00074A3C" w:rsidRPr="003F1F4D">
        <w:rPr>
          <w:color w:val="000000" w:themeColor="text1"/>
        </w:rPr>
        <w:t xml:space="preserve">sviluppo </w:t>
      </w:r>
      <w:r w:rsidR="00A94FFA" w:rsidRPr="003F1F4D">
        <w:rPr>
          <w:color w:val="000000" w:themeColor="text1"/>
        </w:rPr>
        <w:t>locale</w:t>
      </w:r>
      <w:r w:rsidR="002F1510" w:rsidRPr="003F1F4D">
        <w:rPr>
          <w:color w:val="000000" w:themeColor="text1"/>
        </w:rPr>
        <w:t>;</w:t>
      </w:r>
      <w:r w:rsidR="00074A3C" w:rsidRPr="003F1F4D">
        <w:rPr>
          <w:color w:val="000000" w:themeColor="text1"/>
        </w:rPr>
        <w:t xml:space="preserve"> </w:t>
      </w:r>
      <w:r w:rsidR="00A94FFA" w:rsidRPr="003F1F4D">
        <w:rPr>
          <w:color w:val="000000" w:themeColor="text1"/>
        </w:rPr>
        <w:t xml:space="preserve">alla </w:t>
      </w:r>
      <w:r w:rsidR="002F1510" w:rsidRPr="003F1F4D">
        <w:rPr>
          <w:color w:val="000000" w:themeColor="text1"/>
        </w:rPr>
        <w:t xml:space="preserve">scarsa ed inefficace (o soltanto dichiarata) </w:t>
      </w:r>
      <w:r w:rsidR="006047B7" w:rsidRPr="003F1F4D">
        <w:rPr>
          <w:color w:val="000000" w:themeColor="text1"/>
        </w:rPr>
        <w:t>partecipazione</w:t>
      </w:r>
      <w:r w:rsidR="002F1510" w:rsidRPr="003F1F4D">
        <w:rPr>
          <w:color w:val="000000" w:themeColor="text1"/>
        </w:rPr>
        <w:t xml:space="preserve"> di tutte le componenti </w:t>
      </w:r>
      <w:r w:rsidR="00CC5D6F" w:rsidRPr="003F1F4D">
        <w:rPr>
          <w:color w:val="000000" w:themeColor="text1"/>
        </w:rPr>
        <w:t>sociali</w:t>
      </w:r>
      <w:r w:rsidR="00FD5997" w:rsidRPr="003F1F4D">
        <w:rPr>
          <w:color w:val="000000" w:themeColor="text1"/>
        </w:rPr>
        <w:t xml:space="preserve"> coinvolte - </w:t>
      </w:r>
      <w:r w:rsidR="00CC5D6F" w:rsidRPr="003F1F4D">
        <w:rPr>
          <w:color w:val="000000" w:themeColor="text1"/>
        </w:rPr>
        <w:t xml:space="preserve">sovente funzionale </w:t>
      </w:r>
      <w:r w:rsidR="00270D1A" w:rsidRPr="003F1F4D">
        <w:rPr>
          <w:color w:val="000000" w:themeColor="text1"/>
        </w:rPr>
        <w:t xml:space="preserve">solo </w:t>
      </w:r>
      <w:r w:rsidR="00E22181" w:rsidRPr="003F1F4D">
        <w:rPr>
          <w:color w:val="000000" w:themeColor="text1"/>
        </w:rPr>
        <w:t xml:space="preserve">a garantire la </w:t>
      </w:r>
      <w:r w:rsidR="00A94FFA" w:rsidRPr="003F1F4D">
        <w:rPr>
          <w:color w:val="000000" w:themeColor="text1"/>
        </w:rPr>
        <w:t xml:space="preserve">conformità ai </w:t>
      </w:r>
      <w:r w:rsidR="002F1510" w:rsidRPr="003F1F4D">
        <w:rPr>
          <w:color w:val="000000" w:themeColor="text1"/>
        </w:rPr>
        <w:t>vincoli imposti dai programmi di finanziamento</w:t>
      </w:r>
      <w:r w:rsidR="00CC5D6F" w:rsidRPr="003F1F4D">
        <w:rPr>
          <w:color w:val="000000" w:themeColor="text1"/>
        </w:rPr>
        <w:t xml:space="preserve"> pubblico</w:t>
      </w:r>
      <w:r w:rsidR="002F1510" w:rsidRPr="003F1F4D">
        <w:rPr>
          <w:color w:val="000000" w:themeColor="text1"/>
        </w:rPr>
        <w:t xml:space="preserve"> (PSR)</w:t>
      </w:r>
      <w:r w:rsidR="00E22181" w:rsidRPr="003F1F4D">
        <w:rPr>
          <w:color w:val="000000" w:themeColor="text1"/>
        </w:rPr>
        <w:t>;</w:t>
      </w:r>
      <w:r w:rsidR="006047B7" w:rsidRPr="003F1F4D">
        <w:rPr>
          <w:color w:val="000000" w:themeColor="text1"/>
        </w:rPr>
        <w:t xml:space="preserve"> </w:t>
      </w:r>
      <w:r w:rsidR="00270D1A" w:rsidRPr="003F1F4D">
        <w:rPr>
          <w:color w:val="000000" w:themeColor="text1"/>
        </w:rPr>
        <w:t>alle asimmetrie delle coalizioni</w:t>
      </w:r>
      <w:r w:rsidR="00E22181" w:rsidRPr="003F1F4D">
        <w:rPr>
          <w:color w:val="000000" w:themeColor="text1"/>
        </w:rPr>
        <w:t>;</w:t>
      </w:r>
      <w:r w:rsidR="006047B7" w:rsidRPr="003F1F4D">
        <w:rPr>
          <w:color w:val="000000" w:themeColor="text1"/>
        </w:rPr>
        <w:t xml:space="preserve"> </w:t>
      </w:r>
      <w:r w:rsidR="00A94FFA" w:rsidRPr="003F1F4D">
        <w:rPr>
          <w:color w:val="000000" w:themeColor="text1"/>
        </w:rPr>
        <w:t>nonché, soprattutto,</w:t>
      </w:r>
      <w:r w:rsidR="006047B7" w:rsidRPr="003F1F4D">
        <w:rPr>
          <w:color w:val="000000" w:themeColor="text1"/>
        </w:rPr>
        <w:t xml:space="preserve"> ai conflitti generati dalla deriva </w:t>
      </w:r>
      <w:proofErr w:type="spellStart"/>
      <w:r w:rsidR="006047B7" w:rsidRPr="003F1F4D">
        <w:rPr>
          <w:color w:val="000000" w:themeColor="text1"/>
        </w:rPr>
        <w:t>settorialista</w:t>
      </w:r>
      <w:proofErr w:type="spellEnd"/>
      <w:r w:rsidR="006047B7" w:rsidRPr="003F1F4D">
        <w:rPr>
          <w:color w:val="000000" w:themeColor="text1"/>
        </w:rPr>
        <w:t xml:space="preserve"> imposta dal cosiddetto mainstreaming </w:t>
      </w:r>
      <w:r w:rsidR="00811076" w:rsidRPr="003F1F4D">
        <w:rPr>
          <w:color w:val="000000" w:themeColor="text1"/>
        </w:rPr>
        <w:t>dell’approccio</w:t>
      </w:r>
      <w:r w:rsidR="006047B7" w:rsidRPr="003F1F4D">
        <w:rPr>
          <w:color w:val="000000" w:themeColor="text1"/>
        </w:rPr>
        <w:t xml:space="preserve"> Leader nella PAC. Tale processo ha </w:t>
      </w:r>
      <w:r w:rsidR="00E22181" w:rsidRPr="003F1F4D">
        <w:rPr>
          <w:color w:val="000000" w:themeColor="text1"/>
        </w:rPr>
        <w:t xml:space="preserve">ulteriormente </w:t>
      </w:r>
      <w:r w:rsidR="006047B7" w:rsidRPr="003F1F4D">
        <w:rPr>
          <w:color w:val="000000" w:themeColor="text1"/>
        </w:rPr>
        <w:t xml:space="preserve">legittimato </w:t>
      </w:r>
      <w:r w:rsidR="00811076" w:rsidRPr="003F1F4D">
        <w:rPr>
          <w:color w:val="000000" w:themeColor="text1"/>
        </w:rPr>
        <w:t xml:space="preserve">la presenza delle </w:t>
      </w:r>
      <w:r w:rsidR="00A94FFA" w:rsidRPr="003F1F4D">
        <w:rPr>
          <w:color w:val="000000" w:themeColor="text1"/>
        </w:rPr>
        <w:t>associazioni</w:t>
      </w:r>
      <w:r w:rsidR="00811076" w:rsidRPr="003F1F4D">
        <w:rPr>
          <w:color w:val="000000" w:themeColor="text1"/>
        </w:rPr>
        <w:t xml:space="preserve"> di categoria </w:t>
      </w:r>
      <w:r w:rsidR="00A94FFA" w:rsidRPr="003F1F4D">
        <w:rPr>
          <w:color w:val="000000" w:themeColor="text1"/>
        </w:rPr>
        <w:t xml:space="preserve">agricole </w:t>
      </w:r>
      <w:r w:rsidR="00811076" w:rsidRPr="003F1F4D">
        <w:rPr>
          <w:color w:val="000000" w:themeColor="text1"/>
        </w:rPr>
        <w:t xml:space="preserve">nei </w:t>
      </w:r>
      <w:proofErr w:type="spellStart"/>
      <w:r w:rsidR="00811076" w:rsidRPr="003F1F4D">
        <w:rPr>
          <w:color w:val="000000" w:themeColor="text1"/>
        </w:rPr>
        <w:t>CdA</w:t>
      </w:r>
      <w:proofErr w:type="spellEnd"/>
      <w:r w:rsidR="00811076" w:rsidRPr="003F1F4D">
        <w:rPr>
          <w:color w:val="000000" w:themeColor="text1"/>
        </w:rPr>
        <w:t xml:space="preserve"> dei GAL e ne ha certamente rafforzato</w:t>
      </w:r>
      <w:r w:rsidR="00A94FFA" w:rsidRPr="003F1F4D">
        <w:rPr>
          <w:color w:val="000000" w:themeColor="text1"/>
        </w:rPr>
        <w:t xml:space="preserve"> anche</w:t>
      </w:r>
      <w:r w:rsidR="00811076" w:rsidRPr="003F1F4D">
        <w:rPr>
          <w:color w:val="000000" w:themeColor="text1"/>
        </w:rPr>
        <w:t xml:space="preserve"> il potere, per via della loro contemporanea presenza nei comitati di sorveglianza dei PSR</w:t>
      </w:r>
      <w:r w:rsidR="00A94FFA" w:rsidRPr="003F1F4D">
        <w:rPr>
          <w:color w:val="000000" w:themeColor="text1"/>
        </w:rPr>
        <w:t>.</w:t>
      </w:r>
    </w:p>
    <w:p w14:paraId="2CFFF4A1" w14:textId="7A006416" w:rsidR="00476F6B" w:rsidRPr="003F1F4D" w:rsidRDefault="00E22181" w:rsidP="00DE7365">
      <w:pPr>
        <w:ind w:right="-7"/>
        <w:jc w:val="both"/>
        <w:rPr>
          <w:color w:val="000000" w:themeColor="text1"/>
        </w:rPr>
      </w:pPr>
      <w:r w:rsidRPr="003F1F4D">
        <w:rPr>
          <w:color w:val="000000" w:themeColor="text1"/>
        </w:rPr>
        <w:t xml:space="preserve">Ciò nonostante </w:t>
      </w:r>
      <w:r w:rsidR="00476F6B" w:rsidRPr="003F1F4D">
        <w:rPr>
          <w:color w:val="000000" w:themeColor="text1"/>
        </w:rPr>
        <w:t>sembrerebbe che alcune di queste componenti neo-rurali</w:t>
      </w:r>
      <w:r w:rsidRPr="003F1F4D">
        <w:rPr>
          <w:color w:val="000000" w:themeColor="text1"/>
        </w:rPr>
        <w:t xml:space="preserve"> </w:t>
      </w:r>
      <w:r w:rsidR="00CC5D6F" w:rsidRPr="003F1F4D">
        <w:rPr>
          <w:color w:val="000000" w:themeColor="text1"/>
        </w:rPr>
        <w:t>corrispondenti ai GAL o a</w:t>
      </w:r>
      <w:r w:rsidR="00270D1A" w:rsidRPr="003F1F4D">
        <w:rPr>
          <w:color w:val="000000" w:themeColor="text1"/>
        </w:rPr>
        <w:t>d alcune</w:t>
      </w:r>
      <w:r w:rsidR="00CC5D6F" w:rsidRPr="003F1F4D">
        <w:rPr>
          <w:color w:val="000000" w:themeColor="text1"/>
        </w:rPr>
        <w:t xml:space="preserve"> parti di essi </w:t>
      </w:r>
      <w:r w:rsidRPr="003F1F4D">
        <w:rPr>
          <w:color w:val="000000" w:themeColor="text1"/>
        </w:rPr>
        <w:t xml:space="preserve">(da considerare </w:t>
      </w:r>
      <w:r w:rsidR="00CC5D6F" w:rsidRPr="003F1F4D">
        <w:rPr>
          <w:color w:val="000000" w:themeColor="text1"/>
        </w:rPr>
        <w:t>altresì</w:t>
      </w:r>
      <w:r w:rsidR="00411E04" w:rsidRPr="003F1F4D">
        <w:rPr>
          <w:color w:val="000000" w:themeColor="text1"/>
        </w:rPr>
        <w:t xml:space="preserve"> </w:t>
      </w:r>
      <w:r w:rsidRPr="003F1F4D">
        <w:rPr>
          <w:color w:val="000000" w:themeColor="text1"/>
        </w:rPr>
        <w:t>come ver</w:t>
      </w:r>
      <w:r w:rsidR="00411E04" w:rsidRPr="003F1F4D">
        <w:rPr>
          <w:color w:val="000000" w:themeColor="text1"/>
        </w:rPr>
        <w:t>i</w:t>
      </w:r>
      <w:r w:rsidRPr="003F1F4D">
        <w:rPr>
          <w:color w:val="000000" w:themeColor="text1"/>
        </w:rPr>
        <w:t xml:space="preserve"> </w:t>
      </w:r>
      <w:r w:rsidR="00411E04" w:rsidRPr="003F1F4D">
        <w:rPr>
          <w:color w:val="000000" w:themeColor="text1"/>
        </w:rPr>
        <w:t xml:space="preserve">e propri attori </w:t>
      </w:r>
      <w:r w:rsidRPr="003F1F4D">
        <w:rPr>
          <w:color w:val="000000" w:themeColor="text1"/>
        </w:rPr>
        <w:t>neo-endogeni)</w:t>
      </w:r>
      <w:r w:rsidR="00476F6B" w:rsidRPr="003F1F4D">
        <w:rPr>
          <w:color w:val="000000" w:themeColor="text1"/>
        </w:rPr>
        <w:t xml:space="preserve"> – maggiormente</w:t>
      </w:r>
      <w:r w:rsidR="00895CDB" w:rsidRPr="003F1F4D">
        <w:rPr>
          <w:color w:val="000000" w:themeColor="text1"/>
        </w:rPr>
        <w:t xml:space="preserve"> caratterizzate da orizzontalità</w:t>
      </w:r>
      <w:r w:rsidR="00476F6B" w:rsidRPr="003F1F4D">
        <w:rPr>
          <w:color w:val="000000" w:themeColor="text1"/>
        </w:rPr>
        <w:t xml:space="preserve">, inclusività, partecipazione </w:t>
      </w:r>
      <w:r w:rsidR="00895CDB" w:rsidRPr="003F1F4D">
        <w:rPr>
          <w:color w:val="000000" w:themeColor="text1"/>
        </w:rPr>
        <w:t>–</w:t>
      </w:r>
      <w:r w:rsidR="003F1F4D">
        <w:rPr>
          <w:color w:val="000000" w:themeColor="text1"/>
        </w:rPr>
        <w:t xml:space="preserve"> </w:t>
      </w:r>
      <w:r w:rsidR="00FD5997" w:rsidRPr="003F1F4D">
        <w:rPr>
          <w:color w:val="000000" w:themeColor="text1"/>
        </w:rPr>
        <w:t>abbiano cominciato</w:t>
      </w:r>
      <w:r w:rsidRPr="003F1F4D">
        <w:rPr>
          <w:color w:val="000000" w:themeColor="text1"/>
        </w:rPr>
        <w:t xml:space="preserve"> </w:t>
      </w:r>
      <w:r w:rsidR="00411E04" w:rsidRPr="003F1F4D">
        <w:rPr>
          <w:color w:val="000000" w:themeColor="text1"/>
        </w:rPr>
        <w:t xml:space="preserve">a </w:t>
      </w:r>
      <w:r w:rsidRPr="003F1F4D">
        <w:rPr>
          <w:color w:val="000000" w:themeColor="text1"/>
        </w:rPr>
        <w:t xml:space="preserve">contrastare </w:t>
      </w:r>
      <w:r w:rsidR="00895CDB" w:rsidRPr="003F1F4D">
        <w:rPr>
          <w:color w:val="000000" w:themeColor="text1"/>
        </w:rPr>
        <w:t xml:space="preserve">il discorso </w:t>
      </w:r>
      <w:proofErr w:type="spellStart"/>
      <w:r w:rsidR="00895CDB" w:rsidRPr="003F1F4D">
        <w:rPr>
          <w:color w:val="000000" w:themeColor="text1"/>
        </w:rPr>
        <w:t>ruralista</w:t>
      </w:r>
      <w:proofErr w:type="spellEnd"/>
      <w:r w:rsidR="00895CDB" w:rsidRPr="003F1F4D">
        <w:rPr>
          <w:color w:val="000000" w:themeColor="text1"/>
        </w:rPr>
        <w:t xml:space="preserve"> </w:t>
      </w:r>
      <w:r w:rsidR="00895CDB" w:rsidRPr="003F1F4D">
        <w:rPr>
          <w:i/>
          <w:color w:val="000000" w:themeColor="text1"/>
        </w:rPr>
        <w:t>mainstream</w:t>
      </w:r>
      <w:r w:rsidR="00137D5D" w:rsidRPr="003F1F4D">
        <w:rPr>
          <w:color w:val="000000" w:themeColor="text1"/>
        </w:rPr>
        <w:t xml:space="preserve">, </w:t>
      </w:r>
      <w:r w:rsidR="00895CDB" w:rsidRPr="003F1F4D">
        <w:rPr>
          <w:color w:val="000000" w:themeColor="text1"/>
        </w:rPr>
        <w:t>semplicistico e a tratti bigotto</w:t>
      </w:r>
      <w:r w:rsidR="00137D5D" w:rsidRPr="003F1F4D">
        <w:rPr>
          <w:color w:val="000000" w:themeColor="text1"/>
        </w:rPr>
        <w:t>,</w:t>
      </w:r>
      <w:r w:rsidR="00895CDB" w:rsidRPr="003F1F4D">
        <w:rPr>
          <w:color w:val="000000" w:themeColor="text1"/>
        </w:rPr>
        <w:t xml:space="preserve"> che ne farebbe un serbatoio di consenso per i movimenti più conservatori e retrivi del Paese.</w:t>
      </w:r>
    </w:p>
    <w:p w14:paraId="725897CE" w14:textId="1B35A3E6" w:rsidR="00895CDB" w:rsidRDefault="00E22181" w:rsidP="00DE7365">
      <w:pPr>
        <w:ind w:right="-7"/>
        <w:jc w:val="both"/>
      </w:pPr>
      <w:r w:rsidRPr="003F1F4D">
        <w:rPr>
          <w:color w:val="000000" w:themeColor="text1"/>
        </w:rPr>
        <w:t>L</w:t>
      </w:r>
      <w:r w:rsidR="00895CDB" w:rsidRPr="003F1F4D">
        <w:rPr>
          <w:color w:val="000000" w:themeColor="text1"/>
        </w:rPr>
        <w:t xml:space="preserve">a </w:t>
      </w:r>
      <w:r w:rsidR="00137D5D" w:rsidRPr="003F1F4D">
        <w:rPr>
          <w:color w:val="000000" w:themeColor="text1"/>
        </w:rPr>
        <w:t>domanda crescente</w:t>
      </w:r>
      <w:r w:rsidR="00895CDB" w:rsidRPr="003F1F4D">
        <w:rPr>
          <w:color w:val="000000" w:themeColor="text1"/>
        </w:rPr>
        <w:t xml:space="preserve"> </w:t>
      </w:r>
      <w:r w:rsidR="00137D5D" w:rsidRPr="003F1F4D">
        <w:rPr>
          <w:color w:val="000000" w:themeColor="text1"/>
        </w:rPr>
        <w:t>di</w:t>
      </w:r>
      <w:r w:rsidR="00895CDB" w:rsidRPr="003F1F4D">
        <w:rPr>
          <w:color w:val="000000" w:themeColor="text1"/>
        </w:rPr>
        <w:t xml:space="preserve"> turismo sostenibile o </w:t>
      </w:r>
      <w:r w:rsidR="00137D5D" w:rsidRPr="003F1F4D">
        <w:rPr>
          <w:color w:val="000000" w:themeColor="text1"/>
        </w:rPr>
        <w:t>di</w:t>
      </w:r>
      <w:r w:rsidR="00895CDB" w:rsidRPr="003F1F4D">
        <w:rPr>
          <w:color w:val="000000" w:themeColor="text1"/>
        </w:rPr>
        <w:t xml:space="preserve"> circuiti di acquisto di prodotti agroalimentari responsabile e condiviso (GAS, fattorie sociali ad esempio) </w:t>
      </w:r>
      <w:r w:rsidR="00411E04" w:rsidRPr="003F1F4D">
        <w:rPr>
          <w:color w:val="000000" w:themeColor="text1"/>
        </w:rPr>
        <w:t>sembrerebbe infatti disegnare, in alcuni casi,</w:t>
      </w:r>
      <w:r w:rsidR="00895CDB" w:rsidRPr="003F1F4D">
        <w:rPr>
          <w:color w:val="000000" w:themeColor="text1"/>
        </w:rPr>
        <w:t xml:space="preserve"> </w:t>
      </w:r>
      <w:r w:rsidR="00895CDB">
        <w:t>un rapporto nuovo tra campagna e città, una diversa consapevolezza e anche, per certi versi, un potenziale protagonismo economico e politico dei movimenti di resilienza agraria ai grandi ricatti del mercato globale.</w:t>
      </w:r>
    </w:p>
    <w:p w14:paraId="4BC4B970" w14:textId="249F8105" w:rsidR="00895CDB" w:rsidRDefault="00895CDB" w:rsidP="00DE7365">
      <w:pPr>
        <w:ind w:right="-7"/>
        <w:jc w:val="both"/>
      </w:pPr>
      <w:r>
        <w:t>Appare così come le aree rurali possano oggi divenire un laboratorio di nuove modalità di autorganizzazione della rappresentanza politica e della iniziativa economica innovativa e partecipata e come, al contrario, le sacche di maggiore consenso verso i movimenti più esplicitamente neo-conservatori basati sul razzismo e la difesa degli interessi nazionalistici si anniderebbero maggiormente nelle sature e esasperate cinture peri-urbane, in quelle che negli anni Sessanta un intellettuale attento ai processi di nuovo conservatorismo e omologazione della cultura italiana</w:t>
      </w:r>
      <w:r w:rsidR="00137D5D">
        <w:t xml:space="preserve"> come Pier Paolo Pasolini</w:t>
      </w:r>
      <w:r>
        <w:t>, definì il sotto-proletariato urbano ai margini delle città.</w:t>
      </w:r>
    </w:p>
    <w:p w14:paraId="550AE46A" w14:textId="316EF472" w:rsidR="00895CDB" w:rsidRDefault="00895CDB" w:rsidP="00DE7365">
      <w:pPr>
        <w:ind w:right="-7"/>
        <w:jc w:val="both"/>
      </w:pPr>
      <w:r>
        <w:t>Il movimento neo-rurale allora, non sembrerebbe più tan</w:t>
      </w:r>
      <w:r w:rsidR="00137D5D">
        <w:t>to ‘</w:t>
      </w:r>
      <w:proofErr w:type="spellStart"/>
      <w:r w:rsidR="00137D5D">
        <w:t>ruralissimo</w:t>
      </w:r>
      <w:proofErr w:type="spellEnd"/>
      <w:r w:rsidR="00137D5D">
        <w:t>’ e al contrario</w:t>
      </w:r>
      <w:r>
        <w:t xml:space="preserve"> si mostrerebbe nella sua ambivalente natura di laboratorio economico, culturale e politico di nuovo comunitarismo e di partecipazione, di produzione responsabile e consapevole uso di competenze esperte </w:t>
      </w:r>
      <w:r w:rsidR="00447BB2">
        <w:t xml:space="preserve">dischiudendo a una lettura </w:t>
      </w:r>
      <w:r w:rsidR="00447BB2">
        <w:lastRenderedPageBreak/>
        <w:t xml:space="preserve">delle campagne come aree meno fragili e più dinamiche di quanto una facile dicotomia </w:t>
      </w:r>
      <w:proofErr w:type="spellStart"/>
      <w:r w:rsidR="00447BB2">
        <w:t>sviluppista</w:t>
      </w:r>
      <w:proofErr w:type="spellEnd"/>
      <w:r w:rsidR="00447BB2">
        <w:t xml:space="preserve"> le ha pensate fino ad oggi. </w:t>
      </w:r>
    </w:p>
    <w:p w14:paraId="7A960420" w14:textId="77777777" w:rsidR="000D23ED" w:rsidRPr="000D23ED" w:rsidRDefault="000D23ED" w:rsidP="00385EEC">
      <w:pPr>
        <w:jc w:val="both"/>
        <w:rPr>
          <w:color w:val="00B0F0"/>
        </w:rPr>
      </w:pPr>
    </w:p>
    <w:p w14:paraId="1BB6B82A" w14:textId="77777777" w:rsidR="003F1F4D" w:rsidRPr="00CF76C4" w:rsidRDefault="003F1F4D" w:rsidP="00277A8F">
      <w:pPr>
        <w:pStyle w:val="Default"/>
        <w:jc w:val="both"/>
        <w:rPr>
          <w:i/>
        </w:rPr>
      </w:pPr>
      <w:r w:rsidRPr="003F1F4D">
        <w:rPr>
          <w:color w:val="000000" w:themeColor="text1"/>
        </w:rPr>
        <w:t xml:space="preserve">Belliggiano A., Salento A. (2017), </w:t>
      </w:r>
      <w:r w:rsidRPr="003F1F4D">
        <w:rPr>
          <w:i/>
          <w:color w:val="000000" w:themeColor="text1"/>
        </w:rPr>
        <w:t xml:space="preserve">The Local Action Group and rural </w:t>
      </w:r>
      <w:proofErr w:type="spellStart"/>
      <w:r w:rsidRPr="003F1F4D">
        <w:rPr>
          <w:i/>
          <w:color w:val="000000" w:themeColor="text1"/>
        </w:rPr>
        <w:t>development</w:t>
      </w:r>
      <w:proofErr w:type="spellEnd"/>
      <w:r w:rsidRPr="003F1F4D">
        <w:rPr>
          <w:i/>
          <w:color w:val="000000" w:themeColor="text1"/>
        </w:rPr>
        <w:t xml:space="preserve"> by </w:t>
      </w:r>
      <w:proofErr w:type="spellStart"/>
      <w:r w:rsidRPr="003F1F4D">
        <w:rPr>
          <w:i/>
          <w:color w:val="000000" w:themeColor="text1"/>
        </w:rPr>
        <w:t>local</w:t>
      </w:r>
      <w:proofErr w:type="spellEnd"/>
      <w:r w:rsidRPr="003F1F4D">
        <w:rPr>
          <w:i/>
          <w:color w:val="000000" w:themeColor="text1"/>
        </w:rPr>
        <w:t xml:space="preserve"> </w:t>
      </w:r>
      <w:proofErr w:type="spellStart"/>
      <w:r w:rsidRPr="003F1F4D">
        <w:rPr>
          <w:i/>
          <w:color w:val="000000" w:themeColor="text1"/>
        </w:rPr>
        <w:t>actors</w:t>
      </w:r>
      <w:proofErr w:type="spellEnd"/>
      <w:r w:rsidRPr="003F1F4D">
        <w:rPr>
          <w:i/>
          <w:color w:val="000000" w:themeColor="text1"/>
        </w:rPr>
        <w:t xml:space="preserve">: an </w:t>
      </w:r>
      <w:proofErr w:type="spellStart"/>
      <w:r w:rsidRPr="003F1F4D">
        <w:rPr>
          <w:i/>
          <w:color w:val="000000" w:themeColor="text1"/>
        </w:rPr>
        <w:t>Apulian</w:t>
      </w:r>
      <w:proofErr w:type="spellEnd"/>
      <w:r w:rsidRPr="003F1F4D">
        <w:rPr>
          <w:i/>
          <w:color w:val="000000" w:themeColor="text1"/>
        </w:rPr>
        <w:t xml:space="preserve"> case study, and a </w:t>
      </w:r>
      <w:proofErr w:type="spellStart"/>
      <w:r w:rsidRPr="003F1F4D">
        <w:rPr>
          <w:i/>
          <w:color w:val="000000" w:themeColor="text1"/>
        </w:rPr>
        <w:t>circumstantial</w:t>
      </w:r>
      <w:proofErr w:type="spellEnd"/>
      <w:r w:rsidRPr="003F1F4D">
        <w:rPr>
          <w:i/>
          <w:color w:val="000000" w:themeColor="text1"/>
        </w:rPr>
        <w:t xml:space="preserve"> method of </w:t>
      </w:r>
      <w:proofErr w:type="spellStart"/>
      <w:r w:rsidRPr="003F1F4D">
        <w:rPr>
          <w:i/>
          <w:color w:val="000000" w:themeColor="text1"/>
        </w:rPr>
        <w:t>assessing</w:t>
      </w:r>
      <w:proofErr w:type="spellEnd"/>
      <w:r w:rsidRPr="003F1F4D">
        <w:rPr>
          <w:i/>
          <w:color w:val="000000" w:themeColor="text1"/>
        </w:rPr>
        <w:t xml:space="preserve"> failure</w:t>
      </w:r>
      <w:r w:rsidRPr="003F1F4D">
        <w:rPr>
          <w:color w:val="000000" w:themeColor="text1"/>
        </w:rPr>
        <w:t xml:space="preserve">, Lecce, </w:t>
      </w:r>
      <w:proofErr w:type="spellStart"/>
      <w:r w:rsidRPr="003F1F4D">
        <w:rPr>
          <w:color w:val="000000" w:themeColor="text1"/>
        </w:rPr>
        <w:t>SiBA</w:t>
      </w:r>
      <w:proofErr w:type="spellEnd"/>
      <w:r w:rsidRPr="003F1F4D">
        <w:rPr>
          <w:color w:val="000000" w:themeColor="text1"/>
        </w:rPr>
        <w:t>, Series “</w:t>
      </w:r>
      <w:proofErr w:type="spellStart"/>
      <w:r w:rsidRPr="003F1F4D">
        <w:rPr>
          <w:iCs/>
          <w:color w:val="000000" w:themeColor="text1"/>
        </w:rPr>
        <w:t>Perspectives</w:t>
      </w:r>
      <w:proofErr w:type="spellEnd"/>
      <w:r w:rsidRPr="003F1F4D">
        <w:rPr>
          <w:iCs/>
          <w:color w:val="000000" w:themeColor="text1"/>
        </w:rPr>
        <w:t xml:space="preserve"> on rural </w:t>
      </w:r>
      <w:proofErr w:type="spellStart"/>
      <w:r w:rsidRPr="003F1F4D">
        <w:rPr>
          <w:iCs/>
          <w:color w:val="000000" w:themeColor="text1"/>
        </w:rPr>
        <w:t>development</w:t>
      </w:r>
      <w:proofErr w:type="spellEnd"/>
      <w:r w:rsidRPr="003F1F4D">
        <w:rPr>
          <w:color w:val="000000" w:themeColor="text1"/>
        </w:rPr>
        <w:t>”, Vol. 1.</w:t>
      </w:r>
    </w:p>
    <w:p w14:paraId="4BC3D3BC" w14:textId="77777777" w:rsidR="003F1F4D" w:rsidRPr="003F1F4D" w:rsidRDefault="003F1F4D" w:rsidP="00CF76C4">
      <w:pPr>
        <w:pStyle w:val="Default"/>
        <w:rPr>
          <w:rFonts w:cs="Times New Roman"/>
          <w:color w:val="000000" w:themeColor="text1"/>
        </w:rPr>
      </w:pPr>
      <w:r w:rsidRPr="003F1F4D">
        <w:rPr>
          <w:rStyle w:val="A2"/>
          <w:color w:val="000000" w:themeColor="text1"/>
        </w:rPr>
        <w:t xml:space="preserve">D’Amico R. De </w:t>
      </w:r>
      <w:proofErr w:type="spellStart"/>
      <w:r w:rsidRPr="003F1F4D">
        <w:rPr>
          <w:rStyle w:val="A2"/>
          <w:color w:val="000000" w:themeColor="text1"/>
        </w:rPr>
        <w:t>Rubertis</w:t>
      </w:r>
      <w:proofErr w:type="spellEnd"/>
      <w:r w:rsidRPr="003F1F4D">
        <w:rPr>
          <w:rStyle w:val="A2"/>
          <w:color w:val="000000" w:themeColor="text1"/>
        </w:rPr>
        <w:t xml:space="preserve"> S. (2014),</w:t>
      </w:r>
      <w:r w:rsidRPr="003F1F4D">
        <w:rPr>
          <w:rFonts w:cs="Times New Roman"/>
          <w:i/>
          <w:color w:val="000000" w:themeColor="text1"/>
        </w:rPr>
        <w:t xml:space="preserve"> Istituzioni per lo sviluppo tra Comune e Regione</w:t>
      </w:r>
      <w:r w:rsidRPr="003F1F4D">
        <w:rPr>
          <w:i/>
          <w:color w:val="000000" w:themeColor="text1"/>
        </w:rPr>
        <w:t xml:space="preserve">. </w:t>
      </w:r>
      <w:r w:rsidRPr="003F1F4D">
        <w:rPr>
          <w:rFonts w:cs="Times New Roman"/>
          <w:i/>
          <w:color w:val="000000" w:themeColor="text1"/>
        </w:rPr>
        <w:t>Unione Europea e prove di ente intermedio in Italia</w:t>
      </w:r>
      <w:r w:rsidRPr="003F1F4D">
        <w:rPr>
          <w:rFonts w:cs="Times New Roman"/>
          <w:color w:val="000000" w:themeColor="text1"/>
        </w:rPr>
        <w:t>,</w:t>
      </w:r>
      <w:r w:rsidRPr="003F1F4D">
        <w:rPr>
          <w:rFonts w:cs="Times New Roman"/>
          <w:i/>
          <w:color w:val="000000" w:themeColor="text1"/>
        </w:rPr>
        <w:t xml:space="preserve"> </w:t>
      </w:r>
      <w:proofErr w:type="spellStart"/>
      <w:r w:rsidRPr="003F1F4D">
        <w:rPr>
          <w:rFonts w:cs="Times New Roman"/>
          <w:color w:val="000000" w:themeColor="text1"/>
        </w:rPr>
        <w:t>Rubettino</w:t>
      </w:r>
      <w:proofErr w:type="spellEnd"/>
      <w:r w:rsidRPr="003F1F4D">
        <w:rPr>
          <w:rFonts w:cs="Times New Roman"/>
          <w:color w:val="000000" w:themeColor="text1"/>
        </w:rPr>
        <w:t>.</w:t>
      </w:r>
    </w:p>
    <w:p w14:paraId="329EC125" w14:textId="77777777" w:rsidR="003F1F4D" w:rsidRPr="003F1F4D" w:rsidRDefault="003F1F4D" w:rsidP="00DE7365">
      <w:pPr>
        <w:jc w:val="both"/>
        <w:rPr>
          <w:color w:val="000000" w:themeColor="text1"/>
        </w:rPr>
      </w:pPr>
      <w:proofErr w:type="spellStart"/>
      <w:r w:rsidRPr="003F1F4D">
        <w:rPr>
          <w:color w:val="000000" w:themeColor="text1"/>
        </w:rPr>
        <w:t>Fallows</w:t>
      </w:r>
      <w:proofErr w:type="spellEnd"/>
      <w:r w:rsidRPr="003F1F4D">
        <w:rPr>
          <w:color w:val="000000" w:themeColor="text1"/>
        </w:rPr>
        <w:t xml:space="preserve"> J. – </w:t>
      </w:r>
      <w:proofErr w:type="spellStart"/>
      <w:r w:rsidRPr="003F1F4D">
        <w:rPr>
          <w:color w:val="000000" w:themeColor="text1"/>
        </w:rPr>
        <w:t>Fallows</w:t>
      </w:r>
      <w:proofErr w:type="spellEnd"/>
      <w:r w:rsidRPr="003F1F4D">
        <w:rPr>
          <w:color w:val="000000" w:themeColor="text1"/>
        </w:rPr>
        <w:t xml:space="preserve"> D. (2018), </w:t>
      </w:r>
      <w:proofErr w:type="spellStart"/>
      <w:r w:rsidRPr="003F1F4D">
        <w:rPr>
          <w:i/>
          <w:color w:val="000000" w:themeColor="text1"/>
        </w:rPr>
        <w:t>Our</w:t>
      </w:r>
      <w:proofErr w:type="spellEnd"/>
      <w:r w:rsidRPr="003F1F4D">
        <w:rPr>
          <w:i/>
          <w:color w:val="000000" w:themeColor="text1"/>
        </w:rPr>
        <w:t xml:space="preserve"> Towns: a 100,000-Mile Journey </w:t>
      </w:r>
      <w:proofErr w:type="spellStart"/>
      <w:r w:rsidRPr="003F1F4D">
        <w:rPr>
          <w:i/>
          <w:color w:val="000000" w:themeColor="text1"/>
        </w:rPr>
        <w:t>into</w:t>
      </w:r>
      <w:proofErr w:type="spellEnd"/>
      <w:r w:rsidRPr="003F1F4D">
        <w:rPr>
          <w:i/>
          <w:color w:val="000000" w:themeColor="text1"/>
        </w:rPr>
        <w:t xml:space="preserve"> the Heart of America</w:t>
      </w:r>
      <w:r w:rsidRPr="003F1F4D">
        <w:rPr>
          <w:color w:val="000000" w:themeColor="text1"/>
        </w:rPr>
        <w:t>, New York, Pantheon Books 2018.</w:t>
      </w:r>
    </w:p>
    <w:p w14:paraId="0F6466DC" w14:textId="77777777" w:rsidR="003F1F4D" w:rsidRPr="00B8526D" w:rsidRDefault="003F1F4D" w:rsidP="00CF76C4">
      <w:pPr>
        <w:jc w:val="both"/>
        <w:rPr>
          <w:color w:val="000000" w:themeColor="text1"/>
          <w:lang w:val="en-GB"/>
        </w:rPr>
      </w:pPr>
      <w:r w:rsidRPr="00B8526D">
        <w:rPr>
          <w:color w:val="000000" w:themeColor="text1"/>
          <w:lang w:val="en-GB"/>
        </w:rPr>
        <w:t xml:space="preserve">Ulrich-Schad J. – Duncan  C. (2018), </w:t>
      </w:r>
      <w:r w:rsidRPr="00B8526D">
        <w:rPr>
          <w:i/>
          <w:color w:val="000000" w:themeColor="text1"/>
          <w:lang w:val="en-GB"/>
        </w:rPr>
        <w:t>People and Places left behind: work, culture and politics in the rural United States</w:t>
      </w:r>
      <w:r w:rsidRPr="00B8526D">
        <w:rPr>
          <w:color w:val="000000" w:themeColor="text1"/>
          <w:lang w:val="en-GB"/>
        </w:rPr>
        <w:t xml:space="preserve">, “The Journal of Peasant Studiees”, 45:1, pp. 59-79. </w:t>
      </w:r>
    </w:p>
    <w:p w14:paraId="19CAC52A" w14:textId="77777777" w:rsidR="003F1F4D" w:rsidRPr="003F1F4D" w:rsidRDefault="003F1F4D" w:rsidP="00DE7365">
      <w:pPr>
        <w:jc w:val="both"/>
        <w:rPr>
          <w:color w:val="000000" w:themeColor="text1"/>
        </w:rPr>
      </w:pPr>
      <w:proofErr w:type="spellStart"/>
      <w:r w:rsidRPr="003F1F4D">
        <w:rPr>
          <w:color w:val="000000" w:themeColor="text1"/>
        </w:rPr>
        <w:t>Wuthnow</w:t>
      </w:r>
      <w:proofErr w:type="spellEnd"/>
      <w:r w:rsidRPr="003F1F4D">
        <w:rPr>
          <w:color w:val="000000" w:themeColor="text1"/>
        </w:rPr>
        <w:t xml:space="preserve"> R. (2018), </w:t>
      </w:r>
      <w:r w:rsidRPr="003F1F4D">
        <w:rPr>
          <w:i/>
          <w:color w:val="000000" w:themeColor="text1"/>
        </w:rPr>
        <w:t xml:space="preserve">The Left </w:t>
      </w:r>
      <w:proofErr w:type="spellStart"/>
      <w:r w:rsidRPr="003F1F4D">
        <w:rPr>
          <w:i/>
          <w:color w:val="000000" w:themeColor="text1"/>
        </w:rPr>
        <w:t>Behind</w:t>
      </w:r>
      <w:proofErr w:type="spellEnd"/>
      <w:r w:rsidRPr="003F1F4D">
        <w:rPr>
          <w:i/>
          <w:color w:val="000000" w:themeColor="text1"/>
        </w:rPr>
        <w:t xml:space="preserve">: </w:t>
      </w:r>
      <w:proofErr w:type="spellStart"/>
      <w:r w:rsidRPr="003F1F4D">
        <w:rPr>
          <w:i/>
          <w:color w:val="000000" w:themeColor="text1"/>
        </w:rPr>
        <w:t>Decline</w:t>
      </w:r>
      <w:proofErr w:type="spellEnd"/>
      <w:r w:rsidRPr="003F1F4D">
        <w:rPr>
          <w:i/>
          <w:color w:val="000000" w:themeColor="text1"/>
        </w:rPr>
        <w:t xml:space="preserve"> and </w:t>
      </w:r>
      <w:proofErr w:type="spellStart"/>
      <w:r w:rsidRPr="003F1F4D">
        <w:rPr>
          <w:i/>
          <w:color w:val="000000" w:themeColor="text1"/>
        </w:rPr>
        <w:t>Rage</w:t>
      </w:r>
      <w:proofErr w:type="spellEnd"/>
      <w:r w:rsidRPr="003F1F4D">
        <w:rPr>
          <w:i/>
          <w:color w:val="000000" w:themeColor="text1"/>
        </w:rPr>
        <w:t xml:space="preserve"> in rural America</w:t>
      </w:r>
      <w:r w:rsidRPr="003F1F4D">
        <w:rPr>
          <w:color w:val="000000" w:themeColor="text1"/>
        </w:rPr>
        <w:t xml:space="preserve">, Princeton, Princeton </w:t>
      </w:r>
      <w:proofErr w:type="spellStart"/>
      <w:r w:rsidRPr="003F1F4D">
        <w:rPr>
          <w:color w:val="000000" w:themeColor="text1"/>
        </w:rPr>
        <w:t>University</w:t>
      </w:r>
      <w:proofErr w:type="spellEnd"/>
      <w:r w:rsidRPr="003F1F4D">
        <w:rPr>
          <w:color w:val="000000" w:themeColor="text1"/>
        </w:rPr>
        <w:t xml:space="preserve"> Press 2018.</w:t>
      </w:r>
    </w:p>
    <w:p w14:paraId="05620D58" w14:textId="77777777" w:rsidR="004C0E47" w:rsidRDefault="004C0E47" w:rsidP="00DE7365">
      <w:pPr>
        <w:jc w:val="both"/>
      </w:pPr>
    </w:p>
    <w:sectPr w:rsidR="004C0E47" w:rsidSect="00D94F4B">
      <w:pgSz w:w="11900" w:h="16840"/>
      <w:pgMar w:top="1701" w:right="1701" w:bottom="1701" w:left="1701" w:header="709" w:footer="851" w:gutter="567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 Pro Ru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365"/>
    <w:rsid w:val="0002156D"/>
    <w:rsid w:val="00074A3C"/>
    <w:rsid w:val="000D23ED"/>
    <w:rsid w:val="00137D5D"/>
    <w:rsid w:val="00212A0C"/>
    <w:rsid w:val="00270D1A"/>
    <w:rsid w:val="00277A8F"/>
    <w:rsid w:val="002F1510"/>
    <w:rsid w:val="003829AE"/>
    <w:rsid w:val="00385EEC"/>
    <w:rsid w:val="003F1F4D"/>
    <w:rsid w:val="00411E04"/>
    <w:rsid w:val="00447BB2"/>
    <w:rsid w:val="00465638"/>
    <w:rsid w:val="00476F6B"/>
    <w:rsid w:val="004C0E47"/>
    <w:rsid w:val="004D08AF"/>
    <w:rsid w:val="0056471E"/>
    <w:rsid w:val="006047B7"/>
    <w:rsid w:val="00811076"/>
    <w:rsid w:val="00837141"/>
    <w:rsid w:val="008928C0"/>
    <w:rsid w:val="00895CDB"/>
    <w:rsid w:val="009049FA"/>
    <w:rsid w:val="00A94FFA"/>
    <w:rsid w:val="00AA6E38"/>
    <w:rsid w:val="00B8526D"/>
    <w:rsid w:val="00C20A47"/>
    <w:rsid w:val="00C558C0"/>
    <w:rsid w:val="00CA616B"/>
    <w:rsid w:val="00CC5D6F"/>
    <w:rsid w:val="00CF76C4"/>
    <w:rsid w:val="00D43035"/>
    <w:rsid w:val="00D94F4B"/>
    <w:rsid w:val="00DE7365"/>
    <w:rsid w:val="00E22181"/>
    <w:rsid w:val="00F1045C"/>
    <w:rsid w:val="00F262A6"/>
    <w:rsid w:val="00FD5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4FCC1D"/>
  <w14:defaultImageDpi w14:val="300"/>
  <w15:docId w15:val="{818721F3-B01D-473B-9697-20B88FE2C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D4303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303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303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303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303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303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303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928C0"/>
    <w:pPr>
      <w:autoSpaceDE w:val="0"/>
      <w:autoSpaceDN w:val="0"/>
      <w:adjustRightInd w:val="0"/>
    </w:pPr>
    <w:rPr>
      <w:rFonts w:ascii="Minion Pro Ru" w:hAnsi="Minion Pro Ru" w:cs="Minion Pro Ru"/>
      <w:color w:val="000000"/>
    </w:rPr>
  </w:style>
  <w:style w:type="character" w:customStyle="1" w:styleId="A0">
    <w:name w:val="A0"/>
    <w:uiPriority w:val="99"/>
    <w:rsid w:val="008928C0"/>
    <w:rPr>
      <w:rFonts w:cs="Minion Pro Ru"/>
      <w:color w:val="221E1F"/>
      <w:sz w:val="36"/>
      <w:szCs w:val="36"/>
    </w:rPr>
  </w:style>
  <w:style w:type="character" w:customStyle="1" w:styleId="A1">
    <w:name w:val="A1"/>
    <w:uiPriority w:val="99"/>
    <w:rsid w:val="00CF76C4"/>
    <w:rPr>
      <w:rFonts w:cs="Minion Pro Ru"/>
      <w:color w:val="221E1F"/>
      <w:sz w:val="26"/>
      <w:szCs w:val="26"/>
    </w:rPr>
  </w:style>
  <w:style w:type="character" w:customStyle="1" w:styleId="A2">
    <w:name w:val="A2"/>
    <w:uiPriority w:val="99"/>
    <w:rsid w:val="00CF76C4"/>
    <w:rPr>
      <w:rFonts w:cs="Minion Pro Ru"/>
      <w:color w:val="221E1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1149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Letizia</dc:creator>
  <cp:keywords/>
  <dc:description/>
  <cp:lastModifiedBy>Giorgio Osti</cp:lastModifiedBy>
  <cp:revision>2</cp:revision>
  <dcterms:created xsi:type="dcterms:W3CDTF">2018-12-27T22:29:00Z</dcterms:created>
  <dcterms:modified xsi:type="dcterms:W3CDTF">2018-12-27T22:29:00Z</dcterms:modified>
</cp:coreProperties>
</file>