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B1F9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Abstract</w:t>
      </w:r>
    </w:p>
    <w:p w:rsidR="00000000" w:rsidRDefault="003B1F9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I </w:t>
      </w:r>
      <w:r>
        <w:rPr>
          <w:rFonts w:cs="Times New Roman"/>
          <w:b/>
          <w:bCs/>
          <w:i/>
          <w:iCs/>
        </w:rPr>
        <w:t>commons</w:t>
      </w:r>
      <w:r>
        <w:rPr>
          <w:rFonts w:cs="Times New Roman"/>
          <w:b/>
          <w:bCs/>
        </w:rPr>
        <w:t xml:space="preserve"> arginano il neo-populismo?</w:t>
      </w:r>
    </w:p>
    <w:p w:rsidR="00000000" w:rsidRDefault="003B1F96">
      <w:pPr>
        <w:jc w:val="both"/>
        <w:rPr>
          <w:rFonts w:cs="Times New Roman"/>
          <w:b/>
          <w:bCs/>
        </w:rPr>
      </w:pPr>
    </w:p>
    <w:p w:rsidR="00000000" w:rsidRDefault="003B1F96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Francesco Saverio </w:t>
      </w:r>
      <w:bookmarkStart w:id="0" w:name="_GoBack"/>
      <w:r>
        <w:rPr>
          <w:rFonts w:cs="Times New Roman"/>
          <w:b/>
          <w:bCs/>
        </w:rPr>
        <w:t>Oliverio</w:t>
      </w:r>
      <w:bookmarkEnd w:id="0"/>
    </w:p>
    <w:p w:rsidR="00000000" w:rsidRDefault="003B1F96">
      <w:pPr>
        <w:jc w:val="both"/>
        <w:rPr>
          <w:rFonts w:cs="Times New Roman"/>
        </w:rPr>
      </w:pPr>
      <w:r>
        <w:rPr>
          <w:rFonts w:cs="Times New Roman"/>
          <w:b/>
          <w:bCs/>
        </w:rPr>
        <w:t>Unical, Dottorato in Politica, Cultura e Sviluppo</w:t>
      </w:r>
    </w:p>
    <w:p w:rsidR="00000000" w:rsidRDefault="003B1F96">
      <w:pPr>
        <w:jc w:val="both"/>
        <w:rPr>
          <w:rFonts w:cs="Times New Roman"/>
        </w:rPr>
      </w:pPr>
    </w:p>
    <w:p w:rsidR="00000000" w:rsidRDefault="003B1F96">
      <w:pPr>
        <w:jc w:val="both"/>
        <w:rPr>
          <w:rFonts w:cs="Times New Roman"/>
        </w:rPr>
      </w:pPr>
      <w:r>
        <w:rPr>
          <w:rFonts w:cs="Times New Roman"/>
        </w:rPr>
        <w:t xml:space="preserve">Le ipotesi che intendiamo discutere sono: 1) che la </w:t>
      </w:r>
      <w:r>
        <w:rPr>
          <w:rFonts w:cs="Times New Roman"/>
          <w:i/>
          <w:iCs/>
        </w:rPr>
        <w:t>costruzione</w:t>
      </w:r>
      <w:r>
        <w:rPr>
          <w:rFonts w:cs="Times New Roman"/>
        </w:rPr>
        <w:t xml:space="preserve"> di nuovi beni comuni rurali possa contrastare il populismo autorita</w:t>
      </w:r>
      <w:r>
        <w:rPr>
          <w:rFonts w:cs="Times New Roman"/>
        </w:rPr>
        <w:t>rio perché favorisce la dinamica della partecipazione e della democrazia e 2) che produzioni agro-alimentari implementate a partire da risorse condivise (es. terre collettive soggette a diritti d'uso) contribuiscano a destrutturare l'idea di popolo come fo</w:t>
      </w:r>
      <w:r>
        <w:rPr>
          <w:rFonts w:cs="Times New Roman"/>
        </w:rPr>
        <w:t>rmazione naturale, unitaria, omogenea e organica (Tarchi, 2018) e perciò stesso escludente.</w:t>
      </w:r>
    </w:p>
    <w:p w:rsidR="00000000" w:rsidRDefault="003B1F96">
      <w:pPr>
        <w:jc w:val="both"/>
        <w:rPr>
          <w:rFonts w:eastAsia="Times New Roman" w:cs="Times New Roman"/>
          <w:color w:val="000000"/>
        </w:rPr>
      </w:pPr>
      <w:r>
        <w:rPr>
          <w:rFonts w:cs="Times New Roman"/>
        </w:rPr>
        <w:t xml:space="preserve">Consideriamo i beni comuni nell'accezione indicata da Ostrom (2006) ovvero sistemi istituzionali (regole e protocolli sociali autodeterminati, cioè sistemi di </w:t>
      </w:r>
      <w:r>
        <w:rPr>
          <w:rFonts w:cs="Times New Roman"/>
          <w:i/>
          <w:iCs/>
        </w:rPr>
        <w:t>self-</w:t>
      </w:r>
      <w:r>
        <w:rPr>
          <w:rFonts w:cs="Times New Roman"/>
          <w:i/>
          <w:iCs/>
        </w:rPr>
        <w:t>governance</w:t>
      </w:r>
      <w:r>
        <w:rPr>
          <w:rFonts w:cs="Times New Roman"/>
        </w:rPr>
        <w:t xml:space="preserve">) di incentivo alla cooperazione che, se correttamente costruiti nel pattern del comune, promuovono la democrazia e la partecipazione. In termini speculari: </w:t>
      </w:r>
      <w:r>
        <w:rPr>
          <w:rFonts w:cs="Times New Roman"/>
        </w:rPr>
        <w:t>«La democrazia […] ha il compito di promuovere la produzione del comune» (Hardt, Negri, 2</w:t>
      </w:r>
      <w:r>
        <w:rPr>
          <w:rFonts w:cs="Times New Roman"/>
        </w:rPr>
        <w:t xml:space="preserve">010: 305). </w:t>
      </w:r>
    </w:p>
    <w:p w:rsidR="00000000" w:rsidRDefault="003B1F96">
      <w:pPr>
        <w:jc w:val="both"/>
      </w:pPr>
      <w:r>
        <w:rPr>
          <w:rFonts w:eastAsia="Times New Roman" w:cs="Times New Roman"/>
          <w:color w:val="000000"/>
        </w:rPr>
        <w:t xml:space="preserve">I beni comuni offrono la possibilità di creare nuove forme di </w:t>
      </w:r>
      <w:r>
        <w:rPr>
          <w:rFonts w:eastAsia="Times New Roman" w:cs="Times New Roman"/>
          <w:i/>
          <w:iCs/>
          <w:color w:val="000000"/>
        </w:rPr>
        <w:t xml:space="preserve">communalism </w:t>
      </w:r>
      <w:r>
        <w:rPr>
          <w:rFonts w:eastAsia="Times New Roman" w:cs="Times New Roman"/>
          <w:color w:val="000000"/>
        </w:rPr>
        <w:t>e solidarietà anche perché comportano una integrazione dei cittadini nelle dinamiche di governo (Lucarelli, 2013) e, realizzando convergenze e comunanze, contribuiscono a</w:t>
      </w:r>
      <w:r>
        <w:rPr>
          <w:rFonts w:eastAsia="Times New Roman" w:cs="Times New Roman"/>
          <w:color w:val="000000"/>
        </w:rPr>
        <w:t xml:space="preserve">ll'esistenza dei territori (Magatti, 2006). Ciò è vero per gli usi civici che sostanziano forme di governo per cui i beni collettivi vengono amministrati direttamente (Micciarelli, 2018). In questo senso la costruzione di nuovi </w:t>
      </w:r>
      <w:r>
        <w:rPr>
          <w:rFonts w:eastAsia="Times New Roman" w:cs="Times New Roman"/>
          <w:i/>
          <w:iCs/>
          <w:color w:val="000000"/>
        </w:rPr>
        <w:t>commons</w:t>
      </w:r>
      <w:r>
        <w:rPr>
          <w:rFonts w:eastAsia="Times New Roman" w:cs="Times New Roman"/>
          <w:color w:val="000000"/>
        </w:rPr>
        <w:t xml:space="preserve"> rurali, come le terr</w:t>
      </w:r>
      <w:r>
        <w:rPr>
          <w:rFonts w:eastAsia="Times New Roman" w:cs="Times New Roman"/>
          <w:color w:val="000000"/>
        </w:rPr>
        <w:t xml:space="preserve">e civiche, configura la possibilità di transitare verso un modello sociale ed economico alternativo (Oliverio, 2018) e di sostanziare la </w:t>
      </w:r>
      <w:r>
        <w:rPr>
          <w:rFonts w:eastAsia="Times New Roman" w:cs="Times New Roman"/>
          <w:i/>
          <w:iCs/>
          <w:color w:val="000000"/>
        </w:rPr>
        <w:t>politica del Comune</w:t>
      </w:r>
      <w:r>
        <w:rPr>
          <w:rFonts w:eastAsia="Times New Roman" w:cs="Times New Roman"/>
          <w:color w:val="000000"/>
        </w:rPr>
        <w:t xml:space="preserve"> (Dardot, Laval, 2015) in grado di riattivare (anche nei </w:t>
      </w:r>
      <w:r>
        <w:rPr>
          <w:rFonts w:eastAsia="Times New Roman" w:cs="Times New Roman"/>
          <w:i/>
          <w:iCs/>
          <w:color w:val="000000"/>
        </w:rPr>
        <w:t>luoghi lasciati indietro</w:t>
      </w:r>
      <w:r>
        <w:rPr>
          <w:rFonts w:eastAsia="Times New Roman" w:cs="Times New Roman"/>
          <w:color w:val="000000"/>
        </w:rPr>
        <w:t>?) la partecipazion</w:t>
      </w:r>
      <w:r>
        <w:rPr>
          <w:rFonts w:eastAsia="Times New Roman" w:cs="Times New Roman"/>
          <w:color w:val="000000"/>
        </w:rPr>
        <w:t>e politica intesa come possibilità di decidere. Una possibile strada da esplorare per superare l'impasse post-democratica nella quale la governance globale e il populismo autoritario trascinano la società.</w:t>
      </w:r>
    </w:p>
    <w:p w:rsidR="00000000" w:rsidRDefault="003B1F96">
      <w:pPr>
        <w:jc w:val="both"/>
      </w:pPr>
    </w:p>
    <w:p w:rsidR="00000000" w:rsidRDefault="003B1F96">
      <w:pPr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b/>
          <w:bCs/>
          <w:color w:val="000000"/>
          <w:sz w:val="20"/>
          <w:szCs w:val="20"/>
        </w:rPr>
        <w:t>Bibliografia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Dardot P., Laval C. (2015), Del Comu</w:t>
      </w:r>
      <w:r>
        <w:rPr>
          <w:rFonts w:eastAsia="Times New Roman" w:cs="Times New Roman"/>
          <w:color w:val="000000"/>
          <w:sz w:val="20"/>
          <w:szCs w:val="20"/>
        </w:rPr>
        <w:t>ne o della Rivoluzione nel XXI secolo, D</w:t>
      </w:r>
      <w:r>
        <w:rPr>
          <w:rFonts w:eastAsia="Times New Roman" w:cs="Times New Roman"/>
          <w:sz w:val="20"/>
          <w:szCs w:val="20"/>
        </w:rPr>
        <w:t>eriveApprodi, Roma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Hardt M., Negri A. (2010), Comune. Oltre il privato e il pubblico, Rizzoli, Milano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Lucarelli A. (2013), La democrazia dei beni comuni, Laterza, Roma-Bari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Magatti M. (2006), Globalizzazione e politi</w:t>
      </w:r>
      <w:r>
        <w:rPr>
          <w:rFonts w:eastAsia="Times New Roman" w:cs="Times New Roman"/>
          <w:color w:val="000000"/>
          <w:sz w:val="20"/>
          <w:szCs w:val="20"/>
        </w:rPr>
        <w:t xml:space="preserve">ca, in Costabile A., Fantozzi P., Turi P. (a cura), </w:t>
      </w:r>
      <w:r>
        <w:rPr>
          <w:rFonts w:eastAsia="Times New Roman" w:cs="Times New Roman"/>
          <w:i/>
          <w:iCs/>
          <w:color w:val="000000"/>
          <w:sz w:val="20"/>
          <w:szCs w:val="20"/>
        </w:rPr>
        <w:t>Manuale di Sociologia politica</w:t>
      </w:r>
      <w:r>
        <w:rPr>
          <w:rFonts w:eastAsia="Times New Roman" w:cs="Times New Roman"/>
          <w:color w:val="000000"/>
          <w:sz w:val="20"/>
          <w:szCs w:val="20"/>
        </w:rPr>
        <w:t xml:space="preserve">, Carocci, Roma 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 xml:space="preserve">Micciarelli </w:t>
      </w:r>
      <w:r>
        <w:rPr>
          <w:rFonts w:cs="Times New Roman"/>
          <w:sz w:val="20"/>
          <w:szCs w:val="20"/>
        </w:rPr>
        <w:t xml:space="preserve">G. (2018), L’uso civico e la rete dei beni comuni emergenti, </w:t>
      </w:r>
      <w:r>
        <w:rPr>
          <w:rFonts w:cs="Times New Roman"/>
          <w:i/>
          <w:iCs/>
          <w:sz w:val="20"/>
          <w:szCs w:val="20"/>
        </w:rPr>
        <w:t>c</w:t>
      </w:r>
      <w:r>
        <w:rPr>
          <w:rStyle w:val="Enfasicorsivo"/>
          <w:rFonts w:cs="Times New Roman"/>
          <w:sz w:val="20"/>
          <w:szCs w:val="20"/>
        </w:rPr>
        <w:t>omune-info.net</w:t>
      </w:r>
      <w:r>
        <w:rPr>
          <w:rFonts w:cs="Times New Roman"/>
          <w:sz w:val="20"/>
          <w:szCs w:val="20"/>
        </w:rPr>
        <w:t xml:space="preserve"> </w:t>
      </w:r>
    </w:p>
    <w:p w:rsidR="00000000" w:rsidRDefault="003B1F96">
      <w:pPr>
        <w:numPr>
          <w:ilvl w:val="0"/>
          <w:numId w:val="1"/>
        </w:numPr>
        <w:autoSpaceDE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Oliverio F. S. (2018), Verso una nuova definizione degli usi civici</w:t>
      </w:r>
      <w:r>
        <w:rPr>
          <w:rFonts w:eastAsia="Times New Roman" w:cs="Times New Roman"/>
          <w:color w:val="000000"/>
          <w:sz w:val="20"/>
          <w:szCs w:val="20"/>
        </w:rPr>
        <w:t xml:space="preserve">, </w:t>
      </w:r>
      <w:r>
        <w:rPr>
          <w:rFonts w:eastAsia="Times New Roman" w:cs="Times New Roman"/>
          <w:i/>
          <w:iCs/>
          <w:color w:val="000000"/>
          <w:sz w:val="20"/>
          <w:szCs w:val="20"/>
        </w:rPr>
        <w:t>Agriregionieuropa</w:t>
      </w:r>
      <w:r>
        <w:rPr>
          <w:rFonts w:eastAsia="Times New Roman" w:cs="Times New Roman"/>
          <w:color w:val="000000"/>
          <w:sz w:val="20"/>
          <w:szCs w:val="20"/>
        </w:rPr>
        <w:t>, n. 55</w:t>
      </w:r>
    </w:p>
    <w:p w:rsidR="00000000" w:rsidRDefault="003B1F96">
      <w:pPr>
        <w:numPr>
          <w:ilvl w:val="0"/>
          <w:numId w:val="1"/>
        </w:numPr>
        <w:jc w:val="both"/>
        <w:rPr>
          <w:rFonts w:eastAsia="Calibri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>Ostrom E. (2006), Governare i beni collettivi, Marsilio, Venezia</w:t>
      </w:r>
    </w:p>
    <w:p w:rsidR="003B1F96" w:rsidRDefault="003B1F96">
      <w:pPr>
        <w:numPr>
          <w:ilvl w:val="0"/>
          <w:numId w:val="1"/>
        </w:numPr>
        <w:jc w:val="both"/>
      </w:pPr>
      <w:r>
        <w:rPr>
          <w:rFonts w:eastAsia="Calibri" w:cs="Times New Roman"/>
          <w:color w:val="000000"/>
          <w:sz w:val="20"/>
          <w:szCs w:val="20"/>
        </w:rPr>
        <w:t>Tarchi M. (2018), Italia populista. Dal qualunquismo a Beppe Grillo, Il mulino, Bologna</w:t>
      </w:r>
    </w:p>
    <w:sectPr w:rsidR="003B1F9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5B"/>
    <w:rsid w:val="003B1F96"/>
    <w:rsid w:val="00C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50987F3-D54A-4EDB-A60B-6800F5CD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styleId="Enfasicorsivo">
    <w:name w:val="Emphasis"/>
    <w:qFormat/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Default">
    <w:name w:val="Default"/>
    <w:basedOn w:val="Normale"/>
    <w:pPr>
      <w:autoSpaceDE w:val="0"/>
    </w:pPr>
    <w:rPr>
      <w:rFonts w:eastAsia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REV1</dc:creator>
  <cp:keywords/>
  <cp:lastModifiedBy>REV1</cp:lastModifiedBy>
  <cp:revision>2</cp:revision>
  <cp:lastPrinted>1601-01-01T00:00:00Z</cp:lastPrinted>
  <dcterms:created xsi:type="dcterms:W3CDTF">2018-12-31T10:20:00Z</dcterms:created>
  <dcterms:modified xsi:type="dcterms:W3CDTF">2018-12-31T10:20:00Z</dcterms:modified>
</cp:coreProperties>
</file>