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C2F" w:rsidRPr="00A55C2F" w:rsidRDefault="00A55C2F" w:rsidP="00A55C2F">
      <w:pPr>
        <w:jc w:val="center"/>
        <w:rPr>
          <w:lang w:val="it-IT"/>
        </w:rPr>
      </w:pPr>
      <w:r w:rsidRPr="00A55C2F">
        <w:rPr>
          <w:lang w:val="it-IT"/>
        </w:rPr>
        <w:t>XIII Convegno Aree Fragili, Rovigo, 22-23 marzo 2019</w:t>
      </w:r>
    </w:p>
    <w:p w:rsidR="00A55C2F" w:rsidRDefault="00A55C2F" w:rsidP="00A55C2F">
      <w:pPr>
        <w:rPr>
          <w:lang w:val="it-IT"/>
        </w:rPr>
      </w:pPr>
      <w:r>
        <w:rPr>
          <w:lang w:val="it-IT"/>
        </w:rPr>
        <w:t xml:space="preserve">E intanto gli ulivi seccano. Conflitti tra scienza, istituzioni e produttori nelle campagne del Mezzogiorno: il caso </w:t>
      </w:r>
      <w:proofErr w:type="spellStart"/>
      <w:r>
        <w:rPr>
          <w:lang w:val="it-IT"/>
        </w:rPr>
        <w:t>Xylella</w:t>
      </w:r>
      <w:proofErr w:type="spellEnd"/>
      <w:r>
        <w:rPr>
          <w:lang w:val="it-IT"/>
        </w:rPr>
        <w:t>.</w:t>
      </w:r>
    </w:p>
    <w:p w:rsidR="00A55C2F" w:rsidRDefault="00A55C2F" w:rsidP="00A55C2F">
      <w:pPr>
        <w:jc w:val="center"/>
        <w:rPr>
          <w:lang w:val="it-IT"/>
        </w:rPr>
      </w:pPr>
      <w:r>
        <w:rPr>
          <w:lang w:val="it-IT"/>
        </w:rPr>
        <w:t xml:space="preserve">di Francesco </w:t>
      </w:r>
      <w:bookmarkStart w:id="0" w:name="_GoBack"/>
      <w:proofErr w:type="spellStart"/>
      <w:r>
        <w:rPr>
          <w:lang w:val="it-IT"/>
        </w:rPr>
        <w:t>Mantino</w:t>
      </w:r>
      <w:proofErr w:type="spellEnd"/>
      <w:r>
        <w:rPr>
          <w:lang w:val="it-IT"/>
        </w:rPr>
        <w:t xml:space="preserve"> e Grazia Valentino</w:t>
      </w:r>
      <w:bookmarkEnd w:id="0"/>
    </w:p>
    <w:p w:rsidR="00A55C2F" w:rsidRDefault="00A55C2F" w:rsidP="00A55C2F">
      <w:pPr>
        <w:jc w:val="center"/>
        <w:rPr>
          <w:lang w:val="it-IT"/>
        </w:rPr>
      </w:pPr>
      <w:r>
        <w:rPr>
          <w:lang w:val="it-IT"/>
        </w:rPr>
        <w:t>(CREA- Politiche e Bioeconomia)</w:t>
      </w:r>
    </w:p>
    <w:p w:rsidR="00EA1C1C" w:rsidRDefault="0089705C" w:rsidP="00FC39E7">
      <w:pPr>
        <w:jc w:val="both"/>
        <w:rPr>
          <w:lang w:val="it-IT"/>
        </w:rPr>
      </w:pPr>
      <w:r>
        <w:rPr>
          <w:lang w:val="it-IT"/>
        </w:rPr>
        <w:t xml:space="preserve">Il Salento è un’area caratterizzata dalla presenza </w:t>
      </w:r>
      <w:r w:rsidR="00A55C2F">
        <w:rPr>
          <w:lang w:val="it-IT"/>
        </w:rPr>
        <w:t>diffusa dell’olivo, che nell’ultimo secolo ha rappresentato il tratto fondamentale e costitutivo dell’economia rurale e del paesaggio.</w:t>
      </w:r>
    </w:p>
    <w:p w:rsidR="0089705C" w:rsidRDefault="0089705C" w:rsidP="00FC39E7">
      <w:pPr>
        <w:jc w:val="both"/>
        <w:rPr>
          <w:lang w:val="it-IT"/>
        </w:rPr>
      </w:pPr>
      <w:r>
        <w:rPr>
          <w:lang w:val="it-IT"/>
        </w:rPr>
        <w:t xml:space="preserve">Dal 2013 l’area e l’economia olivicola è stata colpita da una epidemia scatenata da una batteriosi, la </w:t>
      </w:r>
      <w:proofErr w:type="spellStart"/>
      <w:r>
        <w:rPr>
          <w:lang w:val="it-IT"/>
        </w:rPr>
        <w:t>Xylella</w:t>
      </w:r>
      <w:proofErr w:type="spellEnd"/>
      <w:r>
        <w:rPr>
          <w:lang w:val="it-IT"/>
        </w:rPr>
        <w:t>, che sta letteralmente sconvolgendo il paesaggio e la sopravvivenza stessa delle piante.</w:t>
      </w:r>
      <w:r w:rsidR="00A55C2F">
        <w:rPr>
          <w:lang w:val="it-IT"/>
        </w:rPr>
        <w:t xml:space="preserve"> A partire da alcuni primi focolai di infezione, localizzati nel basso Salento, la malattia si è diffusa rapidamente </w:t>
      </w:r>
      <w:r w:rsidR="00FC39E7">
        <w:rPr>
          <w:lang w:val="it-IT"/>
        </w:rPr>
        <w:t xml:space="preserve">portando al disseccamento di centinaia di piante, alcune delle quali di grande valore paesaggistico perché monumentali e secolari. Naturalmente anche il valore di mercato dell’olio si è ridotto, generando una forte caduta dei redditi e del valore patrimoniale della terra. </w:t>
      </w:r>
    </w:p>
    <w:p w:rsidR="0089705C" w:rsidRDefault="0089705C" w:rsidP="00FC39E7">
      <w:pPr>
        <w:jc w:val="both"/>
        <w:rPr>
          <w:lang w:val="it-IT"/>
        </w:rPr>
      </w:pPr>
      <w:r>
        <w:rPr>
          <w:lang w:val="it-IT"/>
        </w:rPr>
        <w:t xml:space="preserve">I meccanismi di reazione da parte di tutti gli attori sono stati problematici e hanno scatenato un corto circuito negativo: </w:t>
      </w:r>
      <w:r w:rsidR="00FC39E7">
        <w:rPr>
          <w:lang w:val="it-IT"/>
        </w:rPr>
        <w:t>il sistema del</w:t>
      </w:r>
      <w:r>
        <w:rPr>
          <w:lang w:val="it-IT"/>
        </w:rPr>
        <w:t xml:space="preserve">la ricerca </w:t>
      </w:r>
      <w:r w:rsidR="00FC39E7">
        <w:rPr>
          <w:lang w:val="it-IT"/>
        </w:rPr>
        <w:t>non ha fornito un supporto risolutivo al problema</w:t>
      </w:r>
      <w:r w:rsidR="00313E4D">
        <w:rPr>
          <w:lang w:val="it-IT"/>
        </w:rPr>
        <w:t>;</w:t>
      </w:r>
      <w:r>
        <w:rPr>
          <w:lang w:val="it-IT"/>
        </w:rPr>
        <w:t xml:space="preserve"> la politica regionale e nazionale</w:t>
      </w:r>
      <w:r w:rsidR="00FC39E7">
        <w:rPr>
          <w:lang w:val="it-IT"/>
        </w:rPr>
        <w:t xml:space="preserve"> ha oscillato tra un atteggiamento di </w:t>
      </w:r>
      <w:r w:rsidR="00313E4D">
        <w:rPr>
          <w:lang w:val="it-IT"/>
        </w:rPr>
        <w:t>severa repressione della malattia (con la prescrizione dell’eradicazione delle piante infette) e un atteggiamento di immobilismo;</w:t>
      </w:r>
      <w:r>
        <w:rPr>
          <w:lang w:val="it-IT"/>
        </w:rPr>
        <w:t xml:space="preserve"> </w:t>
      </w:r>
      <w:r w:rsidR="00313E4D">
        <w:rPr>
          <w:lang w:val="it-IT"/>
        </w:rPr>
        <w:t>le associazioni ambientaliste e la popolazione locale si sono arroccate su una posizione di rifiuto della normativa e di totale sfiducia nel sistema della ricerca e delle istituzioni regionali;</w:t>
      </w:r>
      <w:r>
        <w:rPr>
          <w:lang w:val="it-IT"/>
        </w:rPr>
        <w:t xml:space="preserve"> i produttori olivicoli</w:t>
      </w:r>
      <w:r w:rsidR="00313E4D">
        <w:rPr>
          <w:lang w:val="it-IT"/>
        </w:rPr>
        <w:t xml:space="preserve"> e le loro associazioni hanno utilizzato la calamità naturale per chiedere ulteriori interventi finanziari compensativi, ma senza aggredire alla radice il problema.</w:t>
      </w:r>
      <w:r>
        <w:rPr>
          <w:lang w:val="it-IT"/>
        </w:rPr>
        <w:t xml:space="preserve">   </w:t>
      </w:r>
    </w:p>
    <w:p w:rsidR="0089705C" w:rsidRDefault="00313E4D" w:rsidP="00FC39E7">
      <w:pPr>
        <w:jc w:val="both"/>
        <w:rPr>
          <w:lang w:val="it-IT"/>
        </w:rPr>
      </w:pPr>
      <w:r>
        <w:rPr>
          <w:lang w:val="it-IT"/>
        </w:rPr>
        <w:t>Complessivamente vi è stata una</w:t>
      </w:r>
      <w:r w:rsidR="0089705C">
        <w:rPr>
          <w:lang w:val="it-IT"/>
        </w:rPr>
        <w:t xml:space="preserve"> perdita di credibilità delle istituzioni e della ricerca, </w:t>
      </w:r>
      <w:r>
        <w:rPr>
          <w:lang w:val="it-IT"/>
        </w:rPr>
        <w:t xml:space="preserve">e specularmente la </w:t>
      </w:r>
      <w:r w:rsidR="0089705C">
        <w:rPr>
          <w:lang w:val="it-IT"/>
        </w:rPr>
        <w:t xml:space="preserve">perdita di fiducia da parte della popolazione locale e dei produttori olivicoli nella capacità della politica di trovare una soluzione al problema produttivo e identitario. </w:t>
      </w:r>
      <w:r>
        <w:rPr>
          <w:lang w:val="it-IT"/>
        </w:rPr>
        <w:t>Sono nati e si sono sviluppati</w:t>
      </w:r>
      <w:r w:rsidR="0089705C">
        <w:rPr>
          <w:lang w:val="it-IT"/>
        </w:rPr>
        <w:t xml:space="preserve"> comportamenti opportunistici, risposte individuali, rifiuto delle istituzioni e delle regole, </w:t>
      </w:r>
      <w:r>
        <w:rPr>
          <w:lang w:val="it-IT"/>
        </w:rPr>
        <w:t xml:space="preserve">alimentati anche dalla </w:t>
      </w:r>
      <w:r w:rsidR="0089705C">
        <w:rPr>
          <w:lang w:val="it-IT"/>
        </w:rPr>
        <w:t xml:space="preserve">diffusione di una cattiva comunicazione che ha </w:t>
      </w:r>
      <w:r>
        <w:rPr>
          <w:lang w:val="it-IT"/>
        </w:rPr>
        <w:t>ac</w:t>
      </w:r>
      <w:r w:rsidR="00932DF7">
        <w:rPr>
          <w:lang w:val="it-IT"/>
        </w:rPr>
        <w:t>c</w:t>
      </w:r>
      <w:r>
        <w:rPr>
          <w:lang w:val="it-IT"/>
        </w:rPr>
        <w:t>elerato</w:t>
      </w:r>
      <w:r w:rsidR="0089705C">
        <w:rPr>
          <w:lang w:val="it-IT"/>
        </w:rPr>
        <w:t xml:space="preserve"> il processo di distacco della popolazione dalle istituzioni.</w:t>
      </w:r>
      <w:r>
        <w:rPr>
          <w:lang w:val="it-IT"/>
        </w:rPr>
        <w:t xml:space="preserve"> </w:t>
      </w:r>
      <w:r w:rsidR="0089705C">
        <w:rPr>
          <w:lang w:val="it-IT"/>
        </w:rPr>
        <w:t>Ci sono</w:t>
      </w:r>
      <w:r>
        <w:rPr>
          <w:lang w:val="it-IT"/>
        </w:rPr>
        <w:t>, in altre parole,</w:t>
      </w:r>
      <w:r w:rsidR="0089705C">
        <w:rPr>
          <w:lang w:val="it-IT"/>
        </w:rPr>
        <w:t xml:space="preserve"> tutte le componenti che alimentano nella popolazione i sentiment</w:t>
      </w:r>
      <w:r w:rsidR="00932DF7">
        <w:rPr>
          <w:lang w:val="it-IT"/>
        </w:rPr>
        <w:t>i</w:t>
      </w:r>
      <w:r w:rsidR="0089705C">
        <w:rPr>
          <w:lang w:val="it-IT"/>
        </w:rPr>
        <w:t xml:space="preserve"> di isolamento e </w:t>
      </w:r>
      <w:r w:rsidR="007262C0">
        <w:rPr>
          <w:lang w:val="it-IT"/>
        </w:rPr>
        <w:t xml:space="preserve">di contestazione </w:t>
      </w:r>
      <w:r w:rsidR="00932DF7">
        <w:rPr>
          <w:lang w:val="it-IT"/>
        </w:rPr>
        <w:t>della</w:t>
      </w:r>
      <w:r w:rsidR="007262C0">
        <w:rPr>
          <w:lang w:val="it-IT"/>
        </w:rPr>
        <w:t xml:space="preserve"> rappresentanza politica </w:t>
      </w:r>
      <w:r w:rsidR="00932DF7">
        <w:rPr>
          <w:lang w:val="it-IT"/>
        </w:rPr>
        <w:t>e de</w:t>
      </w:r>
      <w:r w:rsidR="007262C0">
        <w:rPr>
          <w:lang w:val="it-IT"/>
        </w:rPr>
        <w:t xml:space="preserve">lle forze politiche tradizionali. </w:t>
      </w:r>
    </w:p>
    <w:p w:rsidR="00932DF7" w:rsidRDefault="00932DF7" w:rsidP="00FC39E7">
      <w:pPr>
        <w:jc w:val="both"/>
        <w:rPr>
          <w:lang w:val="it-IT"/>
        </w:rPr>
      </w:pPr>
      <w:r>
        <w:rPr>
          <w:lang w:val="it-IT"/>
        </w:rPr>
        <w:t xml:space="preserve">Il paper </w:t>
      </w:r>
      <w:r w:rsidR="00092380">
        <w:rPr>
          <w:lang w:val="it-IT"/>
        </w:rPr>
        <w:t xml:space="preserve">nasce dall’esperienza che gli autori hanno svolto a supporto del tavolo tecnico del Ministero delle Politiche Agricole e Forestali per l’elaborazione di un piano nazionale di interventi contro la </w:t>
      </w:r>
      <w:proofErr w:type="spellStart"/>
      <w:r w:rsidR="00092380">
        <w:rPr>
          <w:lang w:val="it-IT"/>
        </w:rPr>
        <w:t>Xyella</w:t>
      </w:r>
      <w:proofErr w:type="spellEnd"/>
      <w:r w:rsidR="00092380">
        <w:rPr>
          <w:lang w:val="it-IT"/>
        </w:rPr>
        <w:t xml:space="preserve">, </w:t>
      </w:r>
      <w:r w:rsidR="00F7540A">
        <w:rPr>
          <w:lang w:val="it-IT"/>
        </w:rPr>
        <w:t>nonché</w:t>
      </w:r>
      <w:r w:rsidR="00092380">
        <w:rPr>
          <w:lang w:val="it-IT"/>
        </w:rPr>
        <w:t xml:space="preserve"> dal lavoro svolto per la SNAI del Basso Salento. Il paper </w:t>
      </w:r>
      <w:r>
        <w:rPr>
          <w:lang w:val="it-IT"/>
        </w:rPr>
        <w:t>è articolato in tre parti.</w:t>
      </w:r>
    </w:p>
    <w:p w:rsidR="00932DF7" w:rsidRDefault="00932DF7" w:rsidP="00FC39E7">
      <w:pPr>
        <w:jc w:val="both"/>
        <w:rPr>
          <w:lang w:val="it-IT"/>
        </w:rPr>
      </w:pPr>
      <w:r>
        <w:rPr>
          <w:lang w:val="it-IT"/>
        </w:rPr>
        <w:t>La prima descrive l’evoluzione dell</w:t>
      </w:r>
      <w:r w:rsidR="00092380">
        <w:rPr>
          <w:lang w:val="it-IT"/>
        </w:rPr>
        <w:t>’</w:t>
      </w:r>
      <w:r>
        <w:rPr>
          <w:lang w:val="it-IT"/>
        </w:rPr>
        <w:t>infezione e traccia una storia delle principali fasi delle azioni intraprese per contenerne la diffusione e le posizioni degli attori in campo: il sistema della ricerca, la politica agraria regionale e nazionale, la Commissione Europea, il sistema degli attori locali.</w:t>
      </w:r>
    </w:p>
    <w:p w:rsidR="00932DF7" w:rsidRDefault="00932DF7" w:rsidP="00FC39E7">
      <w:pPr>
        <w:jc w:val="both"/>
        <w:rPr>
          <w:lang w:val="it-IT"/>
        </w:rPr>
      </w:pPr>
      <w:r>
        <w:rPr>
          <w:lang w:val="it-IT"/>
        </w:rPr>
        <w:t xml:space="preserve">La seconda parte </w:t>
      </w:r>
      <w:r w:rsidR="00092380">
        <w:rPr>
          <w:lang w:val="it-IT"/>
        </w:rPr>
        <w:t>formalizza</w:t>
      </w:r>
      <w:r>
        <w:rPr>
          <w:lang w:val="it-IT"/>
        </w:rPr>
        <w:t xml:space="preserve"> uno schema interpretativo delle dinamiche che hanno condotto alla conflittualità tra sistema degli attori locali, da un lato, e sistema della ricerca e della politica agraria ai diversi livelli, dall’altro</w:t>
      </w:r>
      <w:r w:rsidR="00281AB3">
        <w:rPr>
          <w:lang w:val="it-IT"/>
        </w:rPr>
        <w:t xml:space="preserve"> (si veda figura seguente)</w:t>
      </w:r>
      <w:r>
        <w:rPr>
          <w:lang w:val="it-IT"/>
        </w:rPr>
        <w:t>. E</w:t>
      </w:r>
      <w:r w:rsidR="00A822C4">
        <w:rPr>
          <w:lang w:val="it-IT"/>
        </w:rPr>
        <w:t>,</w:t>
      </w:r>
      <w:r>
        <w:rPr>
          <w:lang w:val="it-IT"/>
        </w:rPr>
        <w:t xml:space="preserve"> conseguentemente, alla perdita di beni pubblici e privati come risultato complessivo della situazione di</w:t>
      </w:r>
      <w:r w:rsidR="00E243C1">
        <w:rPr>
          <w:lang w:val="it-IT"/>
        </w:rPr>
        <w:t xml:space="preserve"> gap tra bisogni locali e politiche messe in campo. </w:t>
      </w:r>
    </w:p>
    <w:p w:rsidR="00E243C1" w:rsidRDefault="00E243C1" w:rsidP="00FC39E7">
      <w:pPr>
        <w:jc w:val="both"/>
        <w:rPr>
          <w:lang w:val="it-IT"/>
        </w:rPr>
      </w:pPr>
    </w:p>
    <w:p w:rsidR="00E243C1" w:rsidRDefault="00E243C1" w:rsidP="00FC39E7">
      <w:pPr>
        <w:jc w:val="both"/>
        <w:rPr>
          <w:lang w:val="it-IT"/>
        </w:rPr>
      </w:pPr>
      <w:r>
        <w:rPr>
          <w:noProof/>
          <w:lang w:val="it-IT" w:eastAsia="it-IT"/>
        </w:rPr>
        <w:lastRenderedPageBreak/>
        <w:drawing>
          <wp:inline distT="0" distB="0" distL="0" distR="0">
            <wp:extent cx="5486400" cy="3411940"/>
            <wp:effectExtent l="0" t="95250" r="0" b="112395"/>
            <wp:docPr id="1" name="Diagram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281AB3" w:rsidRDefault="00281AB3" w:rsidP="00FC39E7">
      <w:pPr>
        <w:jc w:val="both"/>
        <w:rPr>
          <w:lang w:val="it-IT"/>
        </w:rPr>
      </w:pPr>
      <w:r>
        <w:rPr>
          <w:lang w:val="it-IT"/>
        </w:rPr>
        <w:t xml:space="preserve">Lo schema interpretativo che proponiamo rappresenta in forma dinamica le diverse fasi dell’evoluzione della crisi prodotta dalla </w:t>
      </w:r>
      <w:proofErr w:type="spellStart"/>
      <w:r>
        <w:rPr>
          <w:lang w:val="it-IT"/>
        </w:rPr>
        <w:t>Xylella</w:t>
      </w:r>
      <w:proofErr w:type="spellEnd"/>
      <w:r>
        <w:rPr>
          <w:lang w:val="it-IT"/>
        </w:rPr>
        <w:t xml:space="preserve"> nel sistema istituzionale e sociale della Regione Puglia e in particolare nell’area del Salento.</w:t>
      </w:r>
      <w:r w:rsidR="00DC224E">
        <w:rPr>
          <w:lang w:val="it-IT"/>
        </w:rPr>
        <w:t xml:space="preserve"> A partire dalla risposta del sistema della ricerca (fase 1), si sono prese in considerazioni diverse soluzioni da parte delle istituzioni di policy (fase 2), che hanno generato un livello di fiducia e di adesione da parte degli attori locali (fase 3). In realtà da queste sono nati anche forti elementi di conflitto e di mobilitazione (fase 4) che a loro volto hanno prodotto gravi elementi di crisi/incapacità gestionale regionale e nazionale (fase 5) e conseguentemente hanno innescato una ulteriore elaborazione di una strategia più confacente e adatta alla situazione di crescente diffusione della malattia (fase 6). Da qui è ripartito un processo che è tuttora in corso e i cui sviluppi non sono facilmente prevedibili.</w:t>
      </w:r>
    </w:p>
    <w:p w:rsidR="007262C0" w:rsidRDefault="007262C0" w:rsidP="00FC39E7">
      <w:pPr>
        <w:jc w:val="both"/>
        <w:rPr>
          <w:lang w:val="it-IT"/>
        </w:rPr>
      </w:pPr>
      <w:r>
        <w:rPr>
          <w:lang w:val="it-IT"/>
        </w:rPr>
        <w:t>L’analisi del processo e delle interazioni tra gli attori in campo produce interessanti riflessioni su:</w:t>
      </w:r>
    </w:p>
    <w:p w:rsidR="007262C0" w:rsidRDefault="007262C0" w:rsidP="00FC39E7">
      <w:pPr>
        <w:pStyle w:val="Paragrafoelenco"/>
        <w:numPr>
          <w:ilvl w:val="0"/>
          <w:numId w:val="1"/>
        </w:numPr>
        <w:jc w:val="both"/>
        <w:rPr>
          <w:lang w:val="it-IT"/>
        </w:rPr>
      </w:pPr>
      <w:r>
        <w:rPr>
          <w:lang w:val="it-IT"/>
        </w:rPr>
        <w:t xml:space="preserve">Capacità delle </w:t>
      </w:r>
      <w:r w:rsidR="00A06E26">
        <w:rPr>
          <w:lang w:val="it-IT"/>
        </w:rPr>
        <w:t>istituzioni</w:t>
      </w:r>
      <w:r>
        <w:rPr>
          <w:lang w:val="it-IT"/>
        </w:rPr>
        <w:t xml:space="preserve"> di avere una visione di lungo periodo del problema</w:t>
      </w:r>
      <w:r w:rsidR="00281AB3">
        <w:rPr>
          <w:lang w:val="it-IT"/>
        </w:rPr>
        <w:t xml:space="preserve"> e un’azione coordinata di fronte al problema della </w:t>
      </w:r>
      <w:proofErr w:type="spellStart"/>
      <w:r w:rsidR="00281AB3">
        <w:rPr>
          <w:lang w:val="it-IT"/>
        </w:rPr>
        <w:t>Xylella</w:t>
      </w:r>
      <w:proofErr w:type="spellEnd"/>
      <w:r w:rsidR="00E243C1">
        <w:rPr>
          <w:lang w:val="it-IT"/>
        </w:rPr>
        <w:t>;</w:t>
      </w:r>
      <w:r>
        <w:rPr>
          <w:lang w:val="it-IT"/>
        </w:rPr>
        <w:t xml:space="preserve"> </w:t>
      </w:r>
    </w:p>
    <w:p w:rsidR="007262C0" w:rsidRDefault="007262C0" w:rsidP="00FC39E7">
      <w:pPr>
        <w:pStyle w:val="Paragrafoelenco"/>
        <w:numPr>
          <w:ilvl w:val="0"/>
          <w:numId w:val="1"/>
        </w:numPr>
        <w:jc w:val="both"/>
        <w:rPr>
          <w:lang w:val="it-IT"/>
        </w:rPr>
      </w:pPr>
      <w:r>
        <w:rPr>
          <w:lang w:val="it-IT"/>
        </w:rPr>
        <w:t>Capacità della ricerca di trovare un’alleanza interna e degli strumenti comunicativi efficaci;</w:t>
      </w:r>
    </w:p>
    <w:p w:rsidR="007262C0" w:rsidRDefault="007262C0" w:rsidP="00FC39E7">
      <w:pPr>
        <w:pStyle w:val="Paragrafoelenco"/>
        <w:numPr>
          <w:ilvl w:val="0"/>
          <w:numId w:val="1"/>
        </w:numPr>
        <w:jc w:val="both"/>
        <w:rPr>
          <w:lang w:val="it-IT"/>
        </w:rPr>
      </w:pPr>
      <w:r>
        <w:rPr>
          <w:lang w:val="it-IT"/>
        </w:rPr>
        <w:t>Capacità della leadership lo</w:t>
      </w:r>
      <w:r w:rsidR="00932DF7">
        <w:rPr>
          <w:lang w:val="it-IT"/>
        </w:rPr>
        <w:t>c</w:t>
      </w:r>
      <w:r>
        <w:rPr>
          <w:lang w:val="it-IT"/>
        </w:rPr>
        <w:t>ale di trovare un’adeguata rappresentazione degli interessi generali della popolazione</w:t>
      </w:r>
      <w:r w:rsidR="00E243C1">
        <w:rPr>
          <w:lang w:val="it-IT"/>
        </w:rPr>
        <w:t xml:space="preserve"> e di condurre un’adeguata contrattazione con la politica regionale e nazionale;</w:t>
      </w:r>
    </w:p>
    <w:p w:rsidR="00E243C1" w:rsidRDefault="00E243C1" w:rsidP="00FC39E7">
      <w:pPr>
        <w:pStyle w:val="Paragrafoelenco"/>
        <w:numPr>
          <w:ilvl w:val="0"/>
          <w:numId w:val="1"/>
        </w:numPr>
        <w:jc w:val="both"/>
        <w:rPr>
          <w:lang w:val="it-IT"/>
        </w:rPr>
      </w:pPr>
      <w:r>
        <w:rPr>
          <w:lang w:val="it-IT"/>
        </w:rPr>
        <w:t>Capacità di alcuni “pezzi” del sistema produttivo locale di trovare soluzioni autonome e auto-organizzate</w:t>
      </w:r>
      <w:r w:rsidR="00DC224E">
        <w:rPr>
          <w:lang w:val="it-IT"/>
        </w:rPr>
        <w:t>.</w:t>
      </w:r>
    </w:p>
    <w:p w:rsidR="00092380" w:rsidRDefault="00DC224E" w:rsidP="00DC224E">
      <w:pPr>
        <w:jc w:val="both"/>
        <w:rPr>
          <w:lang w:val="it-IT"/>
        </w:rPr>
      </w:pPr>
      <w:r>
        <w:rPr>
          <w:lang w:val="it-IT"/>
        </w:rPr>
        <w:t xml:space="preserve">La terza parte del paper trae le implicazioni di policy e cerca di rispondere alle seguenti domande: </w:t>
      </w:r>
    </w:p>
    <w:p w:rsidR="00092380" w:rsidRDefault="00DC224E" w:rsidP="00DC224E">
      <w:pPr>
        <w:jc w:val="both"/>
        <w:rPr>
          <w:lang w:val="it-IT"/>
        </w:rPr>
      </w:pPr>
      <w:r>
        <w:rPr>
          <w:lang w:val="it-IT"/>
        </w:rPr>
        <w:t xml:space="preserve">a) quali sono i fattori da cui nasce il gap tra bisogni e politiche in casi come quello evidenziato dalla </w:t>
      </w:r>
      <w:proofErr w:type="spellStart"/>
      <w:r>
        <w:rPr>
          <w:lang w:val="it-IT"/>
        </w:rPr>
        <w:t>Xylella</w:t>
      </w:r>
      <w:proofErr w:type="spellEnd"/>
      <w:r>
        <w:rPr>
          <w:lang w:val="it-IT"/>
        </w:rPr>
        <w:t>, ma che sotto tracci</w:t>
      </w:r>
      <w:r w:rsidR="00092380">
        <w:rPr>
          <w:lang w:val="it-IT"/>
        </w:rPr>
        <w:t xml:space="preserve">a attraversano tutte le politiche regionali; </w:t>
      </w:r>
    </w:p>
    <w:p w:rsidR="00DC224E" w:rsidRPr="00DC224E" w:rsidRDefault="00092380" w:rsidP="00DC224E">
      <w:pPr>
        <w:jc w:val="both"/>
        <w:rPr>
          <w:lang w:val="it-IT"/>
        </w:rPr>
      </w:pPr>
      <w:r>
        <w:rPr>
          <w:lang w:val="it-IT"/>
        </w:rPr>
        <w:t xml:space="preserve">b) quali interventi correttivi occorre mettere in campo per evitare che dai conflitti, che sono </w:t>
      </w:r>
      <w:r w:rsidR="00A822C4">
        <w:rPr>
          <w:lang w:val="it-IT"/>
        </w:rPr>
        <w:t xml:space="preserve">comunque </w:t>
      </w:r>
      <w:r>
        <w:rPr>
          <w:lang w:val="it-IT"/>
        </w:rPr>
        <w:t xml:space="preserve">salutari perché evidenziano l’esistenza di bisogno non adeguatamente interpretati, nascano delle strategie comuni di collaborazione e/o strategie alternative nate dal basso. </w:t>
      </w:r>
    </w:p>
    <w:sectPr w:rsidR="00DC224E" w:rsidRPr="00DC224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A1A8E"/>
    <w:multiLevelType w:val="hybridMultilevel"/>
    <w:tmpl w:val="935463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05C"/>
    <w:rsid w:val="00092380"/>
    <w:rsid w:val="00281AB3"/>
    <w:rsid w:val="00313E4D"/>
    <w:rsid w:val="007262C0"/>
    <w:rsid w:val="0089705C"/>
    <w:rsid w:val="00932DF7"/>
    <w:rsid w:val="00A06E26"/>
    <w:rsid w:val="00A55C2F"/>
    <w:rsid w:val="00A822C4"/>
    <w:rsid w:val="00DC224E"/>
    <w:rsid w:val="00E243C1"/>
    <w:rsid w:val="00EA1C1C"/>
    <w:rsid w:val="00F7540A"/>
    <w:rsid w:val="00FC3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1A68"/>
  <w15:docId w15:val="{BD830379-2CED-452E-A1E9-E9C75726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2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7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CBD4FC-DAC6-4A93-8B47-80C982970C9E}" type="doc">
      <dgm:prSet loTypeId="urn:microsoft.com/office/officeart/2005/8/layout/cycle6" loCatId="relationship" qsTypeId="urn:microsoft.com/office/officeart/2005/8/quickstyle/simple1" qsCatId="simple" csTypeId="urn:microsoft.com/office/officeart/2005/8/colors/colorful5" csCatId="colorful" phldr="1"/>
      <dgm:spPr/>
      <dgm:t>
        <a:bodyPr/>
        <a:lstStyle/>
        <a:p>
          <a:endParaRPr lang="it-IT"/>
        </a:p>
      </dgm:t>
    </dgm:pt>
    <dgm:pt modelId="{493CBB5F-6C4A-476B-B8D9-76E79E5846A2}">
      <dgm:prSet phldrT="[Testo]" custT="1"/>
      <dgm:spPr/>
      <dgm:t>
        <a:bodyPr/>
        <a:lstStyle/>
        <a:p>
          <a:r>
            <a:rPr lang="it-IT" sz="900">
              <a:solidFill>
                <a:schemeClr val="tx1"/>
              </a:solidFill>
            </a:rPr>
            <a:t>Sistema di innovazioni tecnciche (ricerca)</a:t>
          </a:r>
        </a:p>
      </dgm:t>
    </dgm:pt>
    <dgm:pt modelId="{077B4934-4AC6-40D0-8427-5AA1725E336B}" type="parTrans" cxnId="{3C52A6C2-F252-4125-B76D-5AE9309032F0}">
      <dgm:prSet/>
      <dgm:spPr/>
      <dgm:t>
        <a:bodyPr/>
        <a:lstStyle/>
        <a:p>
          <a:endParaRPr lang="it-IT" sz="900">
            <a:solidFill>
              <a:schemeClr val="tx1"/>
            </a:solidFill>
          </a:endParaRPr>
        </a:p>
      </dgm:t>
    </dgm:pt>
    <dgm:pt modelId="{16892A98-E770-4284-8B49-23E6C5CCA72A}" type="sibTrans" cxnId="{3C52A6C2-F252-4125-B76D-5AE9309032F0}">
      <dgm:prSet/>
      <dgm:spPr/>
      <dgm:t>
        <a:bodyPr/>
        <a:lstStyle/>
        <a:p>
          <a:endParaRPr lang="it-IT" sz="900">
            <a:solidFill>
              <a:schemeClr val="tx1"/>
            </a:solidFill>
          </a:endParaRPr>
        </a:p>
      </dgm:t>
    </dgm:pt>
    <dgm:pt modelId="{90BCCCF3-9F43-47CF-ACDA-B28BE791ECAE}">
      <dgm:prSet phldrT="[Testo]" custT="1"/>
      <dgm:spPr/>
      <dgm:t>
        <a:bodyPr/>
        <a:lstStyle/>
        <a:p>
          <a:r>
            <a:rPr lang="it-IT" sz="900">
              <a:solidFill>
                <a:schemeClr val="tx1"/>
              </a:solidFill>
            </a:rPr>
            <a:t>Grado di fiducia attori locali/adesione regole imposte </a:t>
          </a:r>
        </a:p>
      </dgm:t>
    </dgm:pt>
    <dgm:pt modelId="{FB75077B-1167-4A72-8C07-6C97278454D1}" type="parTrans" cxnId="{D7F6FE51-A653-49E2-8F67-103C227D1D4C}">
      <dgm:prSet/>
      <dgm:spPr/>
      <dgm:t>
        <a:bodyPr/>
        <a:lstStyle/>
        <a:p>
          <a:endParaRPr lang="it-IT" sz="900">
            <a:solidFill>
              <a:schemeClr val="tx1"/>
            </a:solidFill>
          </a:endParaRPr>
        </a:p>
      </dgm:t>
    </dgm:pt>
    <dgm:pt modelId="{FDD40091-77A9-4A5A-9137-46C22ED96466}" type="sibTrans" cxnId="{D7F6FE51-A653-49E2-8F67-103C227D1D4C}">
      <dgm:prSet/>
      <dgm:spPr/>
      <dgm:t>
        <a:bodyPr/>
        <a:lstStyle/>
        <a:p>
          <a:endParaRPr lang="it-IT" sz="900">
            <a:solidFill>
              <a:schemeClr val="tx1"/>
            </a:solidFill>
          </a:endParaRPr>
        </a:p>
      </dgm:t>
    </dgm:pt>
    <dgm:pt modelId="{7F790F5A-8A5F-4C9E-8BC9-186864B4D60D}">
      <dgm:prSet phldrT="[Testo]" custT="1"/>
      <dgm:spPr/>
      <dgm:t>
        <a:bodyPr/>
        <a:lstStyle/>
        <a:p>
          <a:r>
            <a:rPr lang="it-IT" sz="900">
              <a:solidFill>
                <a:schemeClr val="tx1"/>
              </a:solidFill>
            </a:rPr>
            <a:t>Mobilitazione locale e conflitto</a:t>
          </a:r>
        </a:p>
      </dgm:t>
    </dgm:pt>
    <dgm:pt modelId="{73E258BC-E238-474F-8165-82D73D96D6B4}" type="parTrans" cxnId="{A4965E0E-059B-4803-A7FF-DE76988DBB74}">
      <dgm:prSet/>
      <dgm:spPr/>
      <dgm:t>
        <a:bodyPr/>
        <a:lstStyle/>
        <a:p>
          <a:endParaRPr lang="it-IT" sz="900">
            <a:solidFill>
              <a:schemeClr val="tx1"/>
            </a:solidFill>
          </a:endParaRPr>
        </a:p>
      </dgm:t>
    </dgm:pt>
    <dgm:pt modelId="{FCF84750-887A-418B-9BEE-B768791D9D17}" type="sibTrans" cxnId="{A4965E0E-059B-4803-A7FF-DE76988DBB74}">
      <dgm:prSet/>
      <dgm:spPr/>
      <dgm:t>
        <a:bodyPr/>
        <a:lstStyle/>
        <a:p>
          <a:endParaRPr lang="it-IT" sz="900">
            <a:solidFill>
              <a:schemeClr val="tx1"/>
            </a:solidFill>
          </a:endParaRPr>
        </a:p>
      </dgm:t>
    </dgm:pt>
    <dgm:pt modelId="{4A76F137-E34A-4D34-A73E-061B37B038DC}">
      <dgm:prSet phldrT="[Testo]" custT="1"/>
      <dgm:spPr/>
      <dgm:t>
        <a:bodyPr/>
        <a:lstStyle/>
        <a:p>
          <a:r>
            <a:rPr lang="it-IT" sz="900">
              <a:solidFill>
                <a:schemeClr val="tx1"/>
              </a:solidFill>
            </a:rPr>
            <a:t>Crisi istituzionale  (conflitti Regione-Stato-UE)</a:t>
          </a:r>
        </a:p>
      </dgm:t>
    </dgm:pt>
    <dgm:pt modelId="{54696E9C-CAC6-4DEF-9376-1845F11BC2A5}" type="parTrans" cxnId="{AEDFDC06-EB1D-4DB3-96FC-CF820C444285}">
      <dgm:prSet/>
      <dgm:spPr/>
      <dgm:t>
        <a:bodyPr/>
        <a:lstStyle/>
        <a:p>
          <a:endParaRPr lang="it-IT" sz="900">
            <a:solidFill>
              <a:schemeClr val="tx1"/>
            </a:solidFill>
          </a:endParaRPr>
        </a:p>
      </dgm:t>
    </dgm:pt>
    <dgm:pt modelId="{EC8B17BB-5369-4084-8FF8-4B0092F4BE74}" type="sibTrans" cxnId="{AEDFDC06-EB1D-4DB3-96FC-CF820C444285}">
      <dgm:prSet/>
      <dgm:spPr/>
      <dgm:t>
        <a:bodyPr/>
        <a:lstStyle/>
        <a:p>
          <a:endParaRPr lang="it-IT" sz="900">
            <a:solidFill>
              <a:schemeClr val="tx1"/>
            </a:solidFill>
          </a:endParaRPr>
        </a:p>
      </dgm:t>
    </dgm:pt>
    <dgm:pt modelId="{B9B8F63F-C5ED-428F-8828-737861345125}">
      <dgm:prSet phldrT="[Testo]" custT="1"/>
      <dgm:spPr/>
      <dgm:t>
        <a:bodyPr/>
        <a:lstStyle/>
        <a:p>
          <a:r>
            <a:rPr lang="it-IT" sz="900">
              <a:solidFill>
                <a:schemeClr val="tx1"/>
              </a:solidFill>
            </a:rPr>
            <a:t>Strategia lungo periodo/</a:t>
          </a:r>
        </a:p>
      </dgm:t>
    </dgm:pt>
    <dgm:pt modelId="{61003E99-7D28-42E3-BE70-1BF952BC2B40}" type="parTrans" cxnId="{7BA543C2-80AD-412E-97E0-E5D4460DA3AD}">
      <dgm:prSet/>
      <dgm:spPr/>
      <dgm:t>
        <a:bodyPr/>
        <a:lstStyle/>
        <a:p>
          <a:endParaRPr lang="it-IT" sz="900">
            <a:solidFill>
              <a:schemeClr val="tx1"/>
            </a:solidFill>
          </a:endParaRPr>
        </a:p>
      </dgm:t>
    </dgm:pt>
    <dgm:pt modelId="{BA736973-F607-4A73-821F-9442B815A1E9}" type="sibTrans" cxnId="{7BA543C2-80AD-412E-97E0-E5D4460DA3AD}">
      <dgm:prSet/>
      <dgm:spPr/>
      <dgm:t>
        <a:bodyPr/>
        <a:lstStyle/>
        <a:p>
          <a:endParaRPr lang="it-IT" sz="900">
            <a:solidFill>
              <a:schemeClr val="tx1"/>
            </a:solidFill>
          </a:endParaRPr>
        </a:p>
      </dgm:t>
    </dgm:pt>
    <dgm:pt modelId="{6D8445E6-320F-466E-9982-E70DF7E0D02E}">
      <dgm:prSet custT="1"/>
      <dgm:spPr/>
      <dgm:t>
        <a:bodyPr/>
        <a:lstStyle/>
        <a:p>
          <a:r>
            <a:rPr lang="it-IT" sz="900">
              <a:solidFill>
                <a:schemeClr val="tx1"/>
              </a:solidFill>
            </a:rPr>
            <a:t>Governance delle soluzioni (Regioni e Stato)</a:t>
          </a:r>
        </a:p>
      </dgm:t>
    </dgm:pt>
    <dgm:pt modelId="{8991F54C-03AD-424A-91BD-E1D3147343AA}" type="parTrans" cxnId="{9B595CB8-8F6E-4390-B5DE-BC88C1F79336}">
      <dgm:prSet/>
      <dgm:spPr/>
      <dgm:t>
        <a:bodyPr/>
        <a:lstStyle/>
        <a:p>
          <a:endParaRPr lang="it-IT" sz="900">
            <a:solidFill>
              <a:schemeClr val="tx1"/>
            </a:solidFill>
          </a:endParaRPr>
        </a:p>
      </dgm:t>
    </dgm:pt>
    <dgm:pt modelId="{EE6197D3-54ED-491E-9638-A822A1D267A5}" type="sibTrans" cxnId="{9B595CB8-8F6E-4390-B5DE-BC88C1F79336}">
      <dgm:prSet/>
      <dgm:spPr/>
      <dgm:t>
        <a:bodyPr/>
        <a:lstStyle/>
        <a:p>
          <a:endParaRPr lang="it-IT" sz="900">
            <a:solidFill>
              <a:schemeClr val="tx1"/>
            </a:solidFill>
          </a:endParaRPr>
        </a:p>
      </dgm:t>
    </dgm:pt>
    <dgm:pt modelId="{95A916AF-1A5F-43EB-91DB-2C3973B28D6B}" type="pres">
      <dgm:prSet presAssocID="{37CBD4FC-DAC6-4A93-8B47-80C982970C9E}" presName="cycle" presStyleCnt="0">
        <dgm:presLayoutVars>
          <dgm:dir/>
          <dgm:resizeHandles val="exact"/>
        </dgm:presLayoutVars>
      </dgm:prSet>
      <dgm:spPr/>
    </dgm:pt>
    <dgm:pt modelId="{EDDD26E8-9E1D-4E57-81D4-B3FC771344EB}" type="pres">
      <dgm:prSet presAssocID="{493CBB5F-6C4A-476B-B8D9-76E79E5846A2}" presName="node" presStyleLbl="node1" presStyleIdx="0" presStyleCnt="6" custScaleX="111491" custScaleY="123835">
        <dgm:presLayoutVars>
          <dgm:bulletEnabled val="1"/>
        </dgm:presLayoutVars>
      </dgm:prSet>
      <dgm:spPr/>
    </dgm:pt>
    <dgm:pt modelId="{B00C5708-A1EA-430E-A39E-D64919C9A486}" type="pres">
      <dgm:prSet presAssocID="{493CBB5F-6C4A-476B-B8D9-76E79E5846A2}" presName="spNode" presStyleCnt="0"/>
      <dgm:spPr/>
    </dgm:pt>
    <dgm:pt modelId="{FCBC4632-4695-4FC2-BC3A-97813978EB59}" type="pres">
      <dgm:prSet presAssocID="{16892A98-E770-4284-8B49-23E6C5CCA72A}" presName="sibTrans" presStyleLbl="sibTrans1D1" presStyleIdx="0" presStyleCnt="6"/>
      <dgm:spPr/>
    </dgm:pt>
    <dgm:pt modelId="{B0D7ACAE-B91F-4B5F-8FFC-28F72B5F312F}" type="pres">
      <dgm:prSet presAssocID="{6D8445E6-320F-466E-9982-E70DF7E0D02E}" presName="node" presStyleLbl="node1" presStyleIdx="1" presStyleCnt="6" custScaleX="117425" custScaleY="127162">
        <dgm:presLayoutVars>
          <dgm:bulletEnabled val="1"/>
        </dgm:presLayoutVars>
      </dgm:prSet>
      <dgm:spPr/>
    </dgm:pt>
    <dgm:pt modelId="{5C2AE074-1784-49B5-BCF7-67252F0ED5D1}" type="pres">
      <dgm:prSet presAssocID="{6D8445E6-320F-466E-9982-E70DF7E0D02E}" presName="spNode" presStyleCnt="0"/>
      <dgm:spPr/>
    </dgm:pt>
    <dgm:pt modelId="{5ED8B343-5944-41A3-A668-4F609C528286}" type="pres">
      <dgm:prSet presAssocID="{EE6197D3-54ED-491E-9638-A822A1D267A5}" presName="sibTrans" presStyleLbl="sibTrans1D1" presStyleIdx="1" presStyleCnt="6"/>
      <dgm:spPr/>
    </dgm:pt>
    <dgm:pt modelId="{1C213800-5487-4290-9AEB-73E03D9B595E}" type="pres">
      <dgm:prSet presAssocID="{90BCCCF3-9F43-47CF-ACDA-B28BE791ECAE}" presName="node" presStyleLbl="node1" presStyleIdx="2" presStyleCnt="6" custScaleX="108707" custScaleY="143684">
        <dgm:presLayoutVars>
          <dgm:bulletEnabled val="1"/>
        </dgm:presLayoutVars>
      </dgm:prSet>
      <dgm:spPr/>
    </dgm:pt>
    <dgm:pt modelId="{FC70164C-EF3A-48B0-A659-CFAAAE66A102}" type="pres">
      <dgm:prSet presAssocID="{90BCCCF3-9F43-47CF-ACDA-B28BE791ECAE}" presName="spNode" presStyleCnt="0"/>
      <dgm:spPr/>
    </dgm:pt>
    <dgm:pt modelId="{72941870-484A-4B29-9509-C69CCEDF4F5C}" type="pres">
      <dgm:prSet presAssocID="{FDD40091-77A9-4A5A-9137-46C22ED96466}" presName="sibTrans" presStyleLbl="sibTrans1D1" presStyleIdx="2" presStyleCnt="6"/>
      <dgm:spPr/>
    </dgm:pt>
    <dgm:pt modelId="{5EEC045A-7EEE-42FA-B0FF-4439DB6A00E6}" type="pres">
      <dgm:prSet presAssocID="{7F790F5A-8A5F-4C9E-8BC9-186864B4D60D}" presName="node" presStyleLbl="node1" presStyleIdx="3" presStyleCnt="6" custScaleX="109606" custScaleY="140148">
        <dgm:presLayoutVars>
          <dgm:bulletEnabled val="1"/>
        </dgm:presLayoutVars>
      </dgm:prSet>
      <dgm:spPr/>
    </dgm:pt>
    <dgm:pt modelId="{ECBD35AA-A3DE-4115-A8B5-449FF2A7C5BF}" type="pres">
      <dgm:prSet presAssocID="{7F790F5A-8A5F-4C9E-8BC9-186864B4D60D}" presName="spNode" presStyleCnt="0"/>
      <dgm:spPr/>
    </dgm:pt>
    <dgm:pt modelId="{93B78BEC-DC28-4F76-9DBF-61D4CB429616}" type="pres">
      <dgm:prSet presAssocID="{FCF84750-887A-418B-9BEE-B768791D9D17}" presName="sibTrans" presStyleLbl="sibTrans1D1" presStyleIdx="3" presStyleCnt="6"/>
      <dgm:spPr/>
    </dgm:pt>
    <dgm:pt modelId="{5C8B6EAC-B759-4A24-BEC1-C024734B92A7}" type="pres">
      <dgm:prSet presAssocID="{4A76F137-E34A-4D34-A73E-061B37B038DC}" presName="node" presStyleLbl="node1" presStyleIdx="4" presStyleCnt="6" custScaleX="120335" custScaleY="143113">
        <dgm:presLayoutVars>
          <dgm:bulletEnabled val="1"/>
        </dgm:presLayoutVars>
      </dgm:prSet>
      <dgm:spPr/>
    </dgm:pt>
    <dgm:pt modelId="{61339951-F3F5-4836-B5D0-1D791BA88D67}" type="pres">
      <dgm:prSet presAssocID="{4A76F137-E34A-4D34-A73E-061B37B038DC}" presName="spNode" presStyleCnt="0"/>
      <dgm:spPr/>
    </dgm:pt>
    <dgm:pt modelId="{4BB4AFDF-DB49-4905-BF8C-332A203FD939}" type="pres">
      <dgm:prSet presAssocID="{EC8B17BB-5369-4084-8FF8-4B0092F4BE74}" presName="sibTrans" presStyleLbl="sibTrans1D1" presStyleIdx="4" presStyleCnt="6"/>
      <dgm:spPr/>
    </dgm:pt>
    <dgm:pt modelId="{F1CDC99F-0D29-444A-B74D-14E3C28AD3A3}" type="pres">
      <dgm:prSet presAssocID="{B9B8F63F-C5ED-428F-8828-737861345125}" presName="node" presStyleLbl="node1" presStyleIdx="5" presStyleCnt="6" custScaleX="127469" custScaleY="135972">
        <dgm:presLayoutVars>
          <dgm:bulletEnabled val="1"/>
        </dgm:presLayoutVars>
      </dgm:prSet>
      <dgm:spPr/>
    </dgm:pt>
    <dgm:pt modelId="{CBD05823-9BBE-43FA-A405-2F3A9E98810A}" type="pres">
      <dgm:prSet presAssocID="{B9B8F63F-C5ED-428F-8828-737861345125}" presName="spNode" presStyleCnt="0"/>
      <dgm:spPr/>
    </dgm:pt>
    <dgm:pt modelId="{AC1EA1D6-7CCD-4059-A66C-C3C7DBBDBCC2}" type="pres">
      <dgm:prSet presAssocID="{BA736973-F607-4A73-821F-9442B815A1E9}" presName="sibTrans" presStyleLbl="sibTrans1D1" presStyleIdx="5" presStyleCnt="6"/>
      <dgm:spPr/>
    </dgm:pt>
  </dgm:ptLst>
  <dgm:cxnLst>
    <dgm:cxn modelId="{AEDFDC06-EB1D-4DB3-96FC-CF820C444285}" srcId="{37CBD4FC-DAC6-4A93-8B47-80C982970C9E}" destId="{4A76F137-E34A-4D34-A73E-061B37B038DC}" srcOrd="4" destOrd="0" parTransId="{54696E9C-CAC6-4DEF-9376-1845F11BC2A5}" sibTransId="{EC8B17BB-5369-4084-8FF8-4B0092F4BE74}"/>
    <dgm:cxn modelId="{A4965E0E-059B-4803-A7FF-DE76988DBB74}" srcId="{37CBD4FC-DAC6-4A93-8B47-80C982970C9E}" destId="{7F790F5A-8A5F-4C9E-8BC9-186864B4D60D}" srcOrd="3" destOrd="0" parTransId="{73E258BC-E238-474F-8165-82D73D96D6B4}" sibTransId="{FCF84750-887A-418B-9BEE-B768791D9D17}"/>
    <dgm:cxn modelId="{11744726-722F-45E5-ABA0-5FF83519CBD2}" type="presOf" srcId="{B9B8F63F-C5ED-428F-8828-737861345125}" destId="{F1CDC99F-0D29-444A-B74D-14E3C28AD3A3}" srcOrd="0" destOrd="0" presId="urn:microsoft.com/office/officeart/2005/8/layout/cycle6"/>
    <dgm:cxn modelId="{F6C3AD26-FBEF-4089-9D04-2B7097EA55ED}" type="presOf" srcId="{37CBD4FC-DAC6-4A93-8B47-80C982970C9E}" destId="{95A916AF-1A5F-43EB-91DB-2C3973B28D6B}" srcOrd="0" destOrd="0" presId="urn:microsoft.com/office/officeart/2005/8/layout/cycle6"/>
    <dgm:cxn modelId="{1A515230-5A9D-4C3C-922D-718341BF77C1}" type="presOf" srcId="{EE6197D3-54ED-491E-9638-A822A1D267A5}" destId="{5ED8B343-5944-41A3-A668-4F609C528286}" srcOrd="0" destOrd="0" presId="urn:microsoft.com/office/officeart/2005/8/layout/cycle6"/>
    <dgm:cxn modelId="{08B9EB70-8C35-4103-AB5D-F52E7960EE38}" type="presOf" srcId="{BA736973-F607-4A73-821F-9442B815A1E9}" destId="{AC1EA1D6-7CCD-4059-A66C-C3C7DBBDBCC2}" srcOrd="0" destOrd="0" presId="urn:microsoft.com/office/officeart/2005/8/layout/cycle6"/>
    <dgm:cxn modelId="{D7F6FE51-A653-49E2-8F67-103C227D1D4C}" srcId="{37CBD4FC-DAC6-4A93-8B47-80C982970C9E}" destId="{90BCCCF3-9F43-47CF-ACDA-B28BE791ECAE}" srcOrd="2" destOrd="0" parTransId="{FB75077B-1167-4A72-8C07-6C97278454D1}" sibTransId="{FDD40091-77A9-4A5A-9137-46C22ED96466}"/>
    <dgm:cxn modelId="{F133CF57-6066-482D-9E07-B7A2A96398F3}" type="presOf" srcId="{EC8B17BB-5369-4084-8FF8-4B0092F4BE74}" destId="{4BB4AFDF-DB49-4905-BF8C-332A203FD939}" srcOrd="0" destOrd="0" presId="urn:microsoft.com/office/officeart/2005/8/layout/cycle6"/>
    <dgm:cxn modelId="{5BF98583-26B1-441F-B6CF-0DF10D8BCEA3}" type="presOf" srcId="{6D8445E6-320F-466E-9982-E70DF7E0D02E}" destId="{B0D7ACAE-B91F-4B5F-8FFC-28F72B5F312F}" srcOrd="0" destOrd="0" presId="urn:microsoft.com/office/officeart/2005/8/layout/cycle6"/>
    <dgm:cxn modelId="{96E9D9AD-7A16-46CD-9DE7-9BF95A11EEB5}" type="presOf" srcId="{16892A98-E770-4284-8B49-23E6C5CCA72A}" destId="{FCBC4632-4695-4FC2-BC3A-97813978EB59}" srcOrd="0" destOrd="0" presId="urn:microsoft.com/office/officeart/2005/8/layout/cycle6"/>
    <dgm:cxn modelId="{9B595CB8-8F6E-4390-B5DE-BC88C1F79336}" srcId="{37CBD4FC-DAC6-4A93-8B47-80C982970C9E}" destId="{6D8445E6-320F-466E-9982-E70DF7E0D02E}" srcOrd="1" destOrd="0" parTransId="{8991F54C-03AD-424A-91BD-E1D3147343AA}" sibTransId="{EE6197D3-54ED-491E-9638-A822A1D267A5}"/>
    <dgm:cxn modelId="{7BA543C2-80AD-412E-97E0-E5D4460DA3AD}" srcId="{37CBD4FC-DAC6-4A93-8B47-80C982970C9E}" destId="{B9B8F63F-C5ED-428F-8828-737861345125}" srcOrd="5" destOrd="0" parTransId="{61003E99-7D28-42E3-BE70-1BF952BC2B40}" sibTransId="{BA736973-F607-4A73-821F-9442B815A1E9}"/>
    <dgm:cxn modelId="{3C52A6C2-F252-4125-B76D-5AE9309032F0}" srcId="{37CBD4FC-DAC6-4A93-8B47-80C982970C9E}" destId="{493CBB5F-6C4A-476B-B8D9-76E79E5846A2}" srcOrd="0" destOrd="0" parTransId="{077B4934-4AC6-40D0-8427-5AA1725E336B}" sibTransId="{16892A98-E770-4284-8B49-23E6C5CCA72A}"/>
    <dgm:cxn modelId="{78A64ECC-1D22-42A6-BAF6-5BAA8A912D11}" type="presOf" srcId="{493CBB5F-6C4A-476B-B8D9-76E79E5846A2}" destId="{EDDD26E8-9E1D-4E57-81D4-B3FC771344EB}" srcOrd="0" destOrd="0" presId="urn:microsoft.com/office/officeart/2005/8/layout/cycle6"/>
    <dgm:cxn modelId="{FF7E4DD2-8C19-42D3-815F-9DAF365C7372}" type="presOf" srcId="{4A76F137-E34A-4D34-A73E-061B37B038DC}" destId="{5C8B6EAC-B759-4A24-BEC1-C024734B92A7}" srcOrd="0" destOrd="0" presId="urn:microsoft.com/office/officeart/2005/8/layout/cycle6"/>
    <dgm:cxn modelId="{9CD355D9-D22C-479C-ABAE-923F6C3E8095}" type="presOf" srcId="{7F790F5A-8A5F-4C9E-8BC9-186864B4D60D}" destId="{5EEC045A-7EEE-42FA-B0FF-4439DB6A00E6}" srcOrd="0" destOrd="0" presId="urn:microsoft.com/office/officeart/2005/8/layout/cycle6"/>
    <dgm:cxn modelId="{0A0709E9-8668-4C97-8EED-80AEDD54A3F5}" type="presOf" srcId="{FDD40091-77A9-4A5A-9137-46C22ED96466}" destId="{72941870-484A-4B29-9509-C69CCEDF4F5C}" srcOrd="0" destOrd="0" presId="urn:microsoft.com/office/officeart/2005/8/layout/cycle6"/>
    <dgm:cxn modelId="{33D3AEF0-86AA-413F-8CD2-A9D12061678D}" type="presOf" srcId="{90BCCCF3-9F43-47CF-ACDA-B28BE791ECAE}" destId="{1C213800-5487-4290-9AEB-73E03D9B595E}" srcOrd="0" destOrd="0" presId="urn:microsoft.com/office/officeart/2005/8/layout/cycle6"/>
    <dgm:cxn modelId="{7E7CA2FC-4514-448F-87ED-FB75EE15E80D}" type="presOf" srcId="{FCF84750-887A-418B-9BEE-B768791D9D17}" destId="{93B78BEC-DC28-4F76-9DBF-61D4CB429616}" srcOrd="0" destOrd="0" presId="urn:microsoft.com/office/officeart/2005/8/layout/cycle6"/>
    <dgm:cxn modelId="{51EA4BAB-1CF6-449E-986C-137946DAE6C2}" type="presParOf" srcId="{95A916AF-1A5F-43EB-91DB-2C3973B28D6B}" destId="{EDDD26E8-9E1D-4E57-81D4-B3FC771344EB}" srcOrd="0" destOrd="0" presId="urn:microsoft.com/office/officeart/2005/8/layout/cycle6"/>
    <dgm:cxn modelId="{E87DA650-0C11-4B0B-86F7-2D5D0C3AB029}" type="presParOf" srcId="{95A916AF-1A5F-43EB-91DB-2C3973B28D6B}" destId="{B00C5708-A1EA-430E-A39E-D64919C9A486}" srcOrd="1" destOrd="0" presId="urn:microsoft.com/office/officeart/2005/8/layout/cycle6"/>
    <dgm:cxn modelId="{BE9CF650-C54C-453E-8E95-C9819F71C73F}" type="presParOf" srcId="{95A916AF-1A5F-43EB-91DB-2C3973B28D6B}" destId="{FCBC4632-4695-4FC2-BC3A-97813978EB59}" srcOrd="2" destOrd="0" presId="urn:microsoft.com/office/officeart/2005/8/layout/cycle6"/>
    <dgm:cxn modelId="{7704A952-067B-42F6-818D-4B916403CB86}" type="presParOf" srcId="{95A916AF-1A5F-43EB-91DB-2C3973B28D6B}" destId="{B0D7ACAE-B91F-4B5F-8FFC-28F72B5F312F}" srcOrd="3" destOrd="0" presId="urn:microsoft.com/office/officeart/2005/8/layout/cycle6"/>
    <dgm:cxn modelId="{D434A10F-63C7-4F2A-9FF1-1366E0AE3F1A}" type="presParOf" srcId="{95A916AF-1A5F-43EB-91DB-2C3973B28D6B}" destId="{5C2AE074-1784-49B5-BCF7-67252F0ED5D1}" srcOrd="4" destOrd="0" presId="urn:microsoft.com/office/officeart/2005/8/layout/cycle6"/>
    <dgm:cxn modelId="{6B0811BF-FC63-47AB-A50A-A049269CA8DB}" type="presParOf" srcId="{95A916AF-1A5F-43EB-91DB-2C3973B28D6B}" destId="{5ED8B343-5944-41A3-A668-4F609C528286}" srcOrd="5" destOrd="0" presId="urn:microsoft.com/office/officeart/2005/8/layout/cycle6"/>
    <dgm:cxn modelId="{5B16FC3B-D25C-405E-865B-E5465F5F46C9}" type="presParOf" srcId="{95A916AF-1A5F-43EB-91DB-2C3973B28D6B}" destId="{1C213800-5487-4290-9AEB-73E03D9B595E}" srcOrd="6" destOrd="0" presId="urn:microsoft.com/office/officeart/2005/8/layout/cycle6"/>
    <dgm:cxn modelId="{F710581B-2CEC-4BED-985C-0F5DA9EEC698}" type="presParOf" srcId="{95A916AF-1A5F-43EB-91DB-2C3973B28D6B}" destId="{FC70164C-EF3A-48B0-A659-CFAAAE66A102}" srcOrd="7" destOrd="0" presId="urn:microsoft.com/office/officeart/2005/8/layout/cycle6"/>
    <dgm:cxn modelId="{1CD1053B-07FA-48D6-8634-A72384B6DF2F}" type="presParOf" srcId="{95A916AF-1A5F-43EB-91DB-2C3973B28D6B}" destId="{72941870-484A-4B29-9509-C69CCEDF4F5C}" srcOrd="8" destOrd="0" presId="urn:microsoft.com/office/officeart/2005/8/layout/cycle6"/>
    <dgm:cxn modelId="{A1061CF0-9504-4A73-93A4-391A26E5496E}" type="presParOf" srcId="{95A916AF-1A5F-43EB-91DB-2C3973B28D6B}" destId="{5EEC045A-7EEE-42FA-B0FF-4439DB6A00E6}" srcOrd="9" destOrd="0" presId="urn:microsoft.com/office/officeart/2005/8/layout/cycle6"/>
    <dgm:cxn modelId="{4784283B-C448-4E4E-80F1-718833B6153F}" type="presParOf" srcId="{95A916AF-1A5F-43EB-91DB-2C3973B28D6B}" destId="{ECBD35AA-A3DE-4115-A8B5-449FF2A7C5BF}" srcOrd="10" destOrd="0" presId="urn:microsoft.com/office/officeart/2005/8/layout/cycle6"/>
    <dgm:cxn modelId="{13966997-EC84-462F-B093-A408733CBB70}" type="presParOf" srcId="{95A916AF-1A5F-43EB-91DB-2C3973B28D6B}" destId="{93B78BEC-DC28-4F76-9DBF-61D4CB429616}" srcOrd="11" destOrd="0" presId="urn:microsoft.com/office/officeart/2005/8/layout/cycle6"/>
    <dgm:cxn modelId="{0497FA6B-1106-44CA-9BA7-EDD128AA5CF1}" type="presParOf" srcId="{95A916AF-1A5F-43EB-91DB-2C3973B28D6B}" destId="{5C8B6EAC-B759-4A24-BEC1-C024734B92A7}" srcOrd="12" destOrd="0" presId="urn:microsoft.com/office/officeart/2005/8/layout/cycle6"/>
    <dgm:cxn modelId="{5E8B4C2D-2A0A-4991-B58D-5F5D612C8935}" type="presParOf" srcId="{95A916AF-1A5F-43EB-91DB-2C3973B28D6B}" destId="{61339951-F3F5-4836-B5D0-1D791BA88D67}" srcOrd="13" destOrd="0" presId="urn:microsoft.com/office/officeart/2005/8/layout/cycle6"/>
    <dgm:cxn modelId="{95BED05B-13DD-4509-84D3-FD1C26A9CB33}" type="presParOf" srcId="{95A916AF-1A5F-43EB-91DB-2C3973B28D6B}" destId="{4BB4AFDF-DB49-4905-BF8C-332A203FD939}" srcOrd="14" destOrd="0" presId="urn:microsoft.com/office/officeart/2005/8/layout/cycle6"/>
    <dgm:cxn modelId="{57604A61-4FAF-486D-BAA5-F7CFFA7983BE}" type="presParOf" srcId="{95A916AF-1A5F-43EB-91DB-2C3973B28D6B}" destId="{F1CDC99F-0D29-444A-B74D-14E3C28AD3A3}" srcOrd="15" destOrd="0" presId="urn:microsoft.com/office/officeart/2005/8/layout/cycle6"/>
    <dgm:cxn modelId="{3DBB84A3-BF7B-495F-8085-5F8C1A2C5C95}" type="presParOf" srcId="{95A916AF-1A5F-43EB-91DB-2C3973B28D6B}" destId="{CBD05823-9BBE-43FA-A405-2F3A9E98810A}" srcOrd="16" destOrd="0" presId="urn:microsoft.com/office/officeart/2005/8/layout/cycle6"/>
    <dgm:cxn modelId="{C8BEDBFF-39E9-4AB4-8B20-A6A469F3C98A}" type="presParOf" srcId="{95A916AF-1A5F-43EB-91DB-2C3973B28D6B}" destId="{AC1EA1D6-7CCD-4059-A66C-C3C7DBBDBCC2}" srcOrd="17" destOrd="0" presId="urn:microsoft.com/office/officeart/2005/8/layout/cycle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DD26E8-9E1D-4E57-81D4-B3FC771344EB}">
      <dsp:nvSpPr>
        <dsp:cNvPr id="0" name=""/>
        <dsp:cNvSpPr/>
      </dsp:nvSpPr>
      <dsp:spPr>
        <a:xfrm>
          <a:off x="2254046" y="-95015"/>
          <a:ext cx="1024451" cy="739619"/>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it-IT" sz="900" kern="1200">
              <a:solidFill>
                <a:schemeClr val="tx1"/>
              </a:solidFill>
            </a:rPr>
            <a:t>Sistema di innovazioni tecnciche (ricerca)</a:t>
          </a:r>
        </a:p>
      </dsp:txBody>
      <dsp:txXfrm>
        <a:off x="2290151" y="-58910"/>
        <a:ext cx="952241" cy="667409"/>
      </dsp:txXfrm>
    </dsp:sp>
    <dsp:sp modelId="{FCBC4632-4695-4FC2-BC3A-97813978EB59}">
      <dsp:nvSpPr>
        <dsp:cNvPr id="0" name=""/>
        <dsp:cNvSpPr/>
      </dsp:nvSpPr>
      <dsp:spPr>
        <a:xfrm>
          <a:off x="1359454" y="274793"/>
          <a:ext cx="2813636" cy="2813636"/>
        </a:xfrm>
        <a:custGeom>
          <a:avLst/>
          <a:gdLst/>
          <a:ahLst/>
          <a:cxnLst/>
          <a:rect l="0" t="0" r="0" b="0"/>
          <a:pathLst>
            <a:path>
              <a:moveTo>
                <a:pt x="1923208" y="98201"/>
              </a:moveTo>
              <a:arcTo wR="1406818" hR="1406818" stAng="17492074" swAng="1076126"/>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0D7ACAE-B91F-4B5F-8FFC-28F72B5F312F}">
      <dsp:nvSpPr>
        <dsp:cNvPr id="0" name=""/>
        <dsp:cNvSpPr/>
      </dsp:nvSpPr>
      <dsp:spPr>
        <a:xfrm>
          <a:off x="3445124" y="598457"/>
          <a:ext cx="1078977" cy="759490"/>
        </a:xfrm>
        <a:prstGeom prst="roundRect">
          <a:avLst/>
        </a:prstGeom>
        <a:solidFill>
          <a:schemeClr val="accent5">
            <a:hueOff val="-1986775"/>
            <a:satOff val="7962"/>
            <a:lumOff val="172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it-IT" sz="900" kern="1200">
              <a:solidFill>
                <a:schemeClr val="tx1"/>
              </a:solidFill>
            </a:rPr>
            <a:t>Governance delle soluzioni (Regioni e Stato)</a:t>
          </a:r>
        </a:p>
      </dsp:txBody>
      <dsp:txXfrm>
        <a:off x="3482199" y="635532"/>
        <a:ext cx="1004827" cy="685340"/>
      </dsp:txXfrm>
    </dsp:sp>
    <dsp:sp modelId="{5ED8B343-5944-41A3-A668-4F609C528286}">
      <dsp:nvSpPr>
        <dsp:cNvPr id="0" name=""/>
        <dsp:cNvSpPr/>
      </dsp:nvSpPr>
      <dsp:spPr>
        <a:xfrm>
          <a:off x="1359454" y="274793"/>
          <a:ext cx="2813636" cy="2813636"/>
        </a:xfrm>
        <a:custGeom>
          <a:avLst/>
          <a:gdLst/>
          <a:ahLst/>
          <a:cxnLst/>
          <a:rect l="0" t="0" r="0" b="0"/>
          <a:pathLst>
            <a:path>
              <a:moveTo>
                <a:pt x="2777261" y="1088977"/>
              </a:moveTo>
              <a:arcTo wR="1406818" hR="1406818" stAng="20816550" swAng="1443504"/>
            </a:path>
          </a:pathLst>
        </a:custGeom>
        <a:noFill/>
        <a:ln w="9525" cap="flat" cmpd="sng" algn="ctr">
          <a:solidFill>
            <a:schemeClr val="accent5">
              <a:hueOff val="-1986775"/>
              <a:satOff val="7962"/>
              <a:lumOff val="1726"/>
              <a:alphaOff val="0"/>
            </a:schemeClr>
          </a:solidFill>
          <a:prstDash val="solid"/>
        </a:ln>
        <a:effectLst/>
      </dsp:spPr>
      <dsp:style>
        <a:lnRef idx="1">
          <a:scrgbClr r="0" g="0" b="0"/>
        </a:lnRef>
        <a:fillRef idx="0">
          <a:scrgbClr r="0" g="0" b="0"/>
        </a:fillRef>
        <a:effectRef idx="0">
          <a:scrgbClr r="0" g="0" b="0"/>
        </a:effectRef>
        <a:fontRef idx="minor"/>
      </dsp:style>
    </dsp:sp>
    <dsp:sp modelId="{1C213800-5487-4290-9AEB-73E03D9B595E}">
      <dsp:nvSpPr>
        <dsp:cNvPr id="0" name=""/>
        <dsp:cNvSpPr/>
      </dsp:nvSpPr>
      <dsp:spPr>
        <a:xfrm>
          <a:off x="3485177" y="1955936"/>
          <a:ext cx="998870" cy="858170"/>
        </a:xfrm>
        <a:prstGeom prst="roundRect">
          <a:avLst/>
        </a:prstGeom>
        <a:solidFill>
          <a:schemeClr val="accent5">
            <a:hueOff val="-3973551"/>
            <a:satOff val="15924"/>
            <a:lumOff val="345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it-IT" sz="900" kern="1200">
              <a:solidFill>
                <a:schemeClr val="tx1"/>
              </a:solidFill>
            </a:rPr>
            <a:t>Grado di fiducia attori locali/adesione regole imposte </a:t>
          </a:r>
        </a:p>
      </dsp:txBody>
      <dsp:txXfrm>
        <a:off x="3527069" y="1997828"/>
        <a:ext cx="915086" cy="774386"/>
      </dsp:txXfrm>
    </dsp:sp>
    <dsp:sp modelId="{72941870-484A-4B29-9509-C69CCEDF4F5C}">
      <dsp:nvSpPr>
        <dsp:cNvPr id="0" name=""/>
        <dsp:cNvSpPr/>
      </dsp:nvSpPr>
      <dsp:spPr>
        <a:xfrm>
          <a:off x="1359454" y="274793"/>
          <a:ext cx="2813636" cy="2813636"/>
        </a:xfrm>
        <a:custGeom>
          <a:avLst/>
          <a:gdLst/>
          <a:ahLst/>
          <a:cxnLst/>
          <a:rect l="0" t="0" r="0" b="0"/>
          <a:pathLst>
            <a:path>
              <a:moveTo>
                <a:pt x="2238399" y="2541547"/>
              </a:moveTo>
              <a:arcTo wR="1406818" hR="1406818" stAng="3225859" swAng="906472"/>
            </a:path>
          </a:pathLst>
        </a:custGeom>
        <a:noFill/>
        <a:ln w="9525" cap="flat" cmpd="sng" algn="ctr">
          <a:solidFill>
            <a:schemeClr val="accent5">
              <a:hueOff val="-3973551"/>
              <a:satOff val="15924"/>
              <a:lumOff val="3451"/>
              <a:alphaOff val="0"/>
            </a:schemeClr>
          </a:solidFill>
          <a:prstDash val="solid"/>
        </a:ln>
        <a:effectLst/>
      </dsp:spPr>
      <dsp:style>
        <a:lnRef idx="1">
          <a:scrgbClr r="0" g="0" b="0"/>
        </a:lnRef>
        <a:fillRef idx="0">
          <a:scrgbClr r="0" g="0" b="0"/>
        </a:fillRef>
        <a:effectRef idx="0">
          <a:scrgbClr r="0" g="0" b="0"/>
        </a:effectRef>
        <a:fontRef idx="minor"/>
      </dsp:style>
    </dsp:sp>
    <dsp:sp modelId="{5EEC045A-7EEE-42FA-B0FF-4439DB6A00E6}">
      <dsp:nvSpPr>
        <dsp:cNvPr id="0" name=""/>
        <dsp:cNvSpPr/>
      </dsp:nvSpPr>
      <dsp:spPr>
        <a:xfrm>
          <a:off x="2262707" y="2669904"/>
          <a:ext cx="1007131" cy="837050"/>
        </a:xfrm>
        <a:prstGeom prst="roundRect">
          <a:avLst/>
        </a:prstGeom>
        <a:solidFill>
          <a:schemeClr val="accent5">
            <a:hueOff val="-5960326"/>
            <a:satOff val="23887"/>
            <a:lumOff val="5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it-IT" sz="900" kern="1200">
              <a:solidFill>
                <a:schemeClr val="tx1"/>
              </a:solidFill>
            </a:rPr>
            <a:t>Mobilitazione locale e conflitto</a:t>
          </a:r>
        </a:p>
      </dsp:txBody>
      <dsp:txXfrm>
        <a:off x="2303568" y="2710765"/>
        <a:ext cx="925409" cy="755328"/>
      </dsp:txXfrm>
    </dsp:sp>
    <dsp:sp modelId="{93B78BEC-DC28-4F76-9DBF-61D4CB429616}">
      <dsp:nvSpPr>
        <dsp:cNvPr id="0" name=""/>
        <dsp:cNvSpPr/>
      </dsp:nvSpPr>
      <dsp:spPr>
        <a:xfrm>
          <a:off x="1359454" y="274793"/>
          <a:ext cx="2813636" cy="2813636"/>
        </a:xfrm>
        <a:custGeom>
          <a:avLst/>
          <a:gdLst/>
          <a:ahLst/>
          <a:cxnLst/>
          <a:rect l="0" t="0" r="0" b="0"/>
          <a:pathLst>
            <a:path>
              <a:moveTo>
                <a:pt x="899704" y="2719058"/>
              </a:moveTo>
              <a:arcTo wR="1406818" hR="1406818" stAng="6667739" swAng="913347"/>
            </a:path>
          </a:pathLst>
        </a:custGeom>
        <a:noFill/>
        <a:ln w="9525" cap="flat" cmpd="sng" algn="ctr">
          <a:solidFill>
            <a:schemeClr val="accent5">
              <a:hueOff val="-5960326"/>
              <a:satOff val="23887"/>
              <a:lumOff val="5177"/>
              <a:alphaOff val="0"/>
            </a:schemeClr>
          </a:solidFill>
          <a:prstDash val="solid"/>
        </a:ln>
        <a:effectLst/>
      </dsp:spPr>
      <dsp:style>
        <a:lnRef idx="1">
          <a:scrgbClr r="0" g="0" b="0"/>
        </a:lnRef>
        <a:fillRef idx="0">
          <a:scrgbClr r="0" g="0" b="0"/>
        </a:fillRef>
        <a:effectRef idx="0">
          <a:scrgbClr r="0" g="0" b="0"/>
        </a:effectRef>
        <a:fontRef idx="minor"/>
      </dsp:style>
    </dsp:sp>
    <dsp:sp modelId="{5C8B6EAC-B759-4A24-BEC1-C024734B92A7}">
      <dsp:nvSpPr>
        <dsp:cNvPr id="0" name=""/>
        <dsp:cNvSpPr/>
      </dsp:nvSpPr>
      <dsp:spPr>
        <a:xfrm>
          <a:off x="995074" y="1957641"/>
          <a:ext cx="1105716" cy="854759"/>
        </a:xfrm>
        <a:prstGeom prst="roundRect">
          <a:avLst/>
        </a:prstGeom>
        <a:solidFill>
          <a:schemeClr val="accent5">
            <a:hueOff val="-7947101"/>
            <a:satOff val="31849"/>
            <a:lumOff val="690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it-IT" sz="900" kern="1200">
              <a:solidFill>
                <a:schemeClr val="tx1"/>
              </a:solidFill>
            </a:rPr>
            <a:t>Crisi istituzionale  (conflitti Regione-Stato-UE)</a:t>
          </a:r>
        </a:p>
      </dsp:txBody>
      <dsp:txXfrm>
        <a:off x="1036800" y="1999367"/>
        <a:ext cx="1022264" cy="771307"/>
      </dsp:txXfrm>
    </dsp:sp>
    <dsp:sp modelId="{4BB4AFDF-DB49-4905-BF8C-332A203FD939}">
      <dsp:nvSpPr>
        <dsp:cNvPr id="0" name=""/>
        <dsp:cNvSpPr/>
      </dsp:nvSpPr>
      <dsp:spPr>
        <a:xfrm>
          <a:off x="1359454" y="274793"/>
          <a:ext cx="2813636" cy="2813636"/>
        </a:xfrm>
        <a:custGeom>
          <a:avLst/>
          <a:gdLst/>
          <a:ahLst/>
          <a:cxnLst/>
          <a:rect l="0" t="0" r="0" b="0"/>
          <a:pathLst>
            <a:path>
              <a:moveTo>
                <a:pt x="26231" y="1677222"/>
              </a:moveTo>
              <a:arcTo wR="1406818" hR="1406818" stAng="10135093" swAng="1383042"/>
            </a:path>
          </a:pathLst>
        </a:custGeom>
        <a:noFill/>
        <a:ln w="9525" cap="flat" cmpd="sng" algn="ctr">
          <a:solidFill>
            <a:schemeClr val="accent5">
              <a:hueOff val="-7947101"/>
              <a:satOff val="31849"/>
              <a:lumOff val="6902"/>
              <a:alphaOff val="0"/>
            </a:schemeClr>
          </a:solidFill>
          <a:prstDash val="solid"/>
        </a:ln>
        <a:effectLst/>
      </dsp:spPr>
      <dsp:style>
        <a:lnRef idx="1">
          <a:scrgbClr r="0" g="0" b="0"/>
        </a:lnRef>
        <a:fillRef idx="0">
          <a:scrgbClr r="0" g="0" b="0"/>
        </a:fillRef>
        <a:effectRef idx="0">
          <a:scrgbClr r="0" g="0" b="0"/>
        </a:effectRef>
        <a:fontRef idx="minor"/>
      </dsp:style>
    </dsp:sp>
    <dsp:sp modelId="{F1CDC99F-0D29-444A-B74D-14E3C28AD3A3}">
      <dsp:nvSpPr>
        <dsp:cNvPr id="0" name=""/>
        <dsp:cNvSpPr/>
      </dsp:nvSpPr>
      <dsp:spPr>
        <a:xfrm>
          <a:off x="962298" y="572148"/>
          <a:ext cx="1171267" cy="812109"/>
        </a:xfrm>
        <a:prstGeom prst="round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it-IT" sz="900" kern="1200">
              <a:solidFill>
                <a:schemeClr val="tx1"/>
              </a:solidFill>
            </a:rPr>
            <a:t>Strategia lungo periodo/</a:t>
          </a:r>
        </a:p>
      </dsp:txBody>
      <dsp:txXfrm>
        <a:off x="1001942" y="611792"/>
        <a:ext cx="1091979" cy="732821"/>
      </dsp:txXfrm>
    </dsp:sp>
    <dsp:sp modelId="{AC1EA1D6-7CCD-4059-A66C-C3C7DBBDBCC2}">
      <dsp:nvSpPr>
        <dsp:cNvPr id="0" name=""/>
        <dsp:cNvSpPr/>
      </dsp:nvSpPr>
      <dsp:spPr>
        <a:xfrm>
          <a:off x="1359454" y="274793"/>
          <a:ext cx="2813636" cy="2813636"/>
        </a:xfrm>
        <a:custGeom>
          <a:avLst/>
          <a:gdLst/>
          <a:ahLst/>
          <a:cxnLst/>
          <a:rect l="0" t="0" r="0" b="0"/>
          <a:pathLst>
            <a:path>
              <a:moveTo>
                <a:pt x="545021" y="294863"/>
              </a:moveTo>
              <a:arcTo wR="1406818" hR="1406818" stAng="13933398" swAng="975542"/>
            </a:path>
          </a:pathLst>
        </a:custGeom>
        <a:noFill/>
        <a:ln w="9525" cap="flat" cmpd="sng" algn="ctr">
          <a:solidFill>
            <a:schemeClr val="accent5">
              <a:hueOff val="-9933876"/>
              <a:satOff val="39811"/>
              <a:lumOff val="8628"/>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FC85A-85D9-414A-AF43-6F4FDBD51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Mantino</dc:creator>
  <cp:lastModifiedBy>Giorgio Osti</cp:lastModifiedBy>
  <cp:revision>2</cp:revision>
  <dcterms:created xsi:type="dcterms:W3CDTF">2019-01-01T14:32:00Z</dcterms:created>
  <dcterms:modified xsi:type="dcterms:W3CDTF">2019-01-01T14:32:00Z</dcterms:modified>
</cp:coreProperties>
</file>